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b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4T21:37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Grégory Champeaud" w:id="0" w:date="2016-06-13T14:09:1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1" w:date="2016-06-14T14:37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