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http://gallica.bnf.fr/ark:/12148/btv1b10500001g/f251.item.r=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di far correr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subtille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de ces materiaulx des meilleurs que tu pourras trouver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dessus est dict et les piles separement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bande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bas pour eviter lexalation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Mesles les bien tous ensemble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en rond justement sur son ouverture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layant lie de hault en bas et par les costes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asses fort Lutes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fiens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soyes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diligent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noublies pas di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quil ne prene point de vent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cause que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derniers ingredients sexhaleroient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luter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prenent vent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sexalleroient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Car sil se rompt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materiaulx sevaporent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fumee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si en 12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nest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color w:val="000000"/>
          <w:rtl w:val="0"/>
        </w:rPr>
        <w:t xml:space="preserve">cognoi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sance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a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leurs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ilz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mixture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subtille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pas estre divulguee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3T18:38:3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"largento" in reverse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1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