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braze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turns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Ma&gt;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Otherwise, they are subdued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worn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&lt;ab&gt;There is some</w:t>
      </w:r>
      <w:r w:rsidDel="00000000" w:rsidR="00000000" w:rsidRPr="00000000">
        <w:rPr>
          <w:rtl w:val="0"/>
        </w:rPr>
        <w:t xml:space="preserve"> which has grains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inside.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recooked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than otherwise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piece of important work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unified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recook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 and when everything is quite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rather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become brittle: once entirely red and hot, dip them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must not fall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 to make</w:t>
      </w:r>
      <w:r w:rsidDel="00000000" w:rsidR="00000000" w:rsidRPr="00000000">
        <w:rPr>
          <w:rtl w:val="0"/>
        </w:rPr>
        <w:t xml:space="preserve"> the gate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casting scarcely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tail is folded,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filaments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that correspond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do it 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scarcely touches the animal, for the sand of the second gate will not touch this part.  But make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end of the empty part of the first mold. Make as well channels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a trough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most important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