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Voulant fondre, mects tousjours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pierrete de borras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dessus.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vapeur ou fumée aigre, il n’empire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principallement, cela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gecter, ne les pense pas emplir d’un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 froid. Mays ayant bien chauldement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emply l’un,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dans l’aultre.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rougir par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erd sa noirceur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regardant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noirceur, continue à l’entretenir en ceste chaleur;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besoing est, adjoustes y quelques charbons demy allumés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les charbons allumés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qu’il soict rouge, car plustost il ne fault pas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Et quant tu soufleras, poulsse d’un mouve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tirant à toy. En ceste sorte la chaleur se donne plus forte.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retirer parfoys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chauldes pour 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posé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 l’eschaufer. Fais doncq que les charbons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prens garde qu’il soit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 mieulx.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fondre,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cognois qu’il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crevés,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crud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d’eschaufer. Et gectes en parfoys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esclarcist. Mays si tu as de ceste croste sublimée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semble grain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cy devant descripte,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ceste la,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laissent un peu reposer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et l’argent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l’humidité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s’attire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l’aspre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chasse de l’exterieur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Loppe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vitrifie en rouge à cause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