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soymesme Quand il commance a rougir il lest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 advise bien par le gect quil le soit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paroissse rien de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on gecte chault il soufle partant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que desseicher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Jay essaye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est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fendent poinct au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font point de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Il se faict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 au f</w:t>
      </w:r>
      <w:r w:rsidDel="00000000" w:rsidR="00000000" w:rsidRPr="00000000">
        <w:rPr>
          <w:rtl w:val="0"/>
        </w:rPr>
        <w:t xml:space="preserve">oeu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 faict broyer subtillement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 cognoissoit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aulcune asperite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 ay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brouillant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plusieurs foys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en fin je lay faict 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rougir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revenu en masse toute oeillettee Mays qui se pulveris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Jen ay mis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que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fort cler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moule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sest moulee fort net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rend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laffermist Et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gras en le grattant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cest signe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La quantite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cest lamy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viendroit bien 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son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en peult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affermist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 trouver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grattant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rude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ny en ha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mouler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Cestuy cy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dacier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rouge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anima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que les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gastent sil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