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138r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 </w:t>
      </w:r>
    </w:p>
    <w:p w:rsidR="00000000" w:rsidDel="00000000" w:rsidP="00000000" w:rsidRDefault="00000000" w:rsidRPr="00000000" w14:paraId="00000001">
      <w:pPr>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http://gallica.bnf.fr/ark:/12148/btv1b10500001g/f281.image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p137v_1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If you want to cast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it is necessary that they be perfectly 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inflammed on the inside when you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perfectly reheated two times, if there is something inside to be burnt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cleaned.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of animals that one burns must be reheated in such a way that the animal burns.  But if it has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big bones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it is troublesome to pull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&lt;/figure&gt;&lt;/m&gt;</w:t>
      </w:r>
      <w:r w:rsidDel="00000000" w:rsidR="00000000" w:rsidRPr="00000000">
        <w:rPr>
          <w:rtl w:val="0"/>
        </w:rPr>
        <w:t xml:space="preserve"> often breaks some fine things by its weightiness. One does not put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&lt;/figure&gt;&lt;/m&gt;</w:t>
      </w:r>
      <w:r w:rsidDel="00000000" w:rsidR="00000000" w:rsidRPr="00000000">
        <w:rPr>
          <w:rtl w:val="0"/>
        </w:rPr>
        <w:t xml:space="preserve">in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 can open. This readily happens with flowers,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of these does not open because they are made all in one go.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When you want to reheat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put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clamps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on the joints, in order that, when reheating, they do not bend, contract, or break. This is done after the gate is made.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scrapings of the mold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can still be used, using them in place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after having reheated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also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pieces of the molds that have been used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lutes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it also important things, like works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also reheats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prepares it with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 of sal 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spat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Germany</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is excellent sand for frames for 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of things where one needs to burn them inside, do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souf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not open until the things which are inside are burnt, like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crabs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stag beetles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representations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pieces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sulphured black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do not release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ought not to mold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because they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l’ea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drink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attract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too soon, and do not allow the sand to set. It would never be better than on 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fresh 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Yet, I have experienced that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grey 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dries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too soon.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The yellow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For medals, and flat things, it is necessary that the sand be thick enough, wet, because it sets quickly. And when the sand is thusly thick, one can hit and shake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table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where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is placed, to make it run everywhere. But when the sand is thin, like for flowers and plants, one ought not to hit, nor when there is something attached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another thing that is subject to coming off, like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legs or similar things. And if the sand is, by chance, too thick, you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quickly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 put in it some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tl w:val="0"/>
        </w:rPr>
        <w:t xml:space="preserve">pour</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Having put the sand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examine that it is thick at the bottom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thin on top.  The thinnest is cast at the beginning and then becomes porous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thickest at the end in order to fortify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81.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