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&lt;/env&gt;&lt;/al&gt;</w:t>
      </w:r>
      <w:r w:rsidDel="00000000" w:rsidR="00000000" w:rsidRPr="00000000">
        <w:rPr>
          <w:rtl w:val="0"/>
        </w:rPr>
        <w:t xml:space="preserve"> are more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easier to mould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than those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being flatter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a longer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tail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legs straighter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better to release than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the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garrigue</w:t>
      </w:r>
      <w:r w:rsidDel="00000000" w:rsidR="00000000" w:rsidRPr="00000000">
        <w:rPr>
          <w:rFonts w:ascii="Courier New" w:cs="Courier New" w:eastAsia="Courier New" w:hAnsi="Courier New"/>
          <w:color w:val="0000ff"/>
          <w:sz w:val="18"/>
          <w:szCs w:val="18"/>
          <w:rtl w:val="0"/>
        </w:rPr>
        <w:t xml:space="preserve">&lt;/fr&gt;&lt;/env&gt;&lt;/al&gt;</w:t>
      </w:r>
      <w:r w:rsidDel="00000000" w:rsidR="00000000" w:rsidRPr="00000000">
        <w:rPr>
          <w:rtl w:val="0"/>
        </w:rPr>
        <w:t xml:space="preserve">, which are lean, wrinkled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well ensconced in their shell, which also have a rounder top of the shell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however narrower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the sides than near the middle, which is the reason their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top shell cannot be molded well in one piece,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&lt;/env&gt;&lt;/al&gt;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Therefore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Thusly, you will mold their top shell in two pieces, the bottom ones in two or three of four, according to the need. But, note that if you want to release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without burning it, it needs to be molded it thus in several pieces. But, if you want it to be burned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inside, you can mold the top shell in one piece. Therefore, to start working hands-on, after you have killed it entirely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said, let it dry well. And clean it well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Next,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take your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put it on top and smudge it a little, so that the bottom shell fastens to it, having, nevertheless, earlier shaped the head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strong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as with other animals, making it hold high by the means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fresh 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that you will adapt from underneath. Stretch the said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legs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head arranged, dexterously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yellow millet</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in each eye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because as soon as they are dead the eyes are burst and filthy. You can do this as well with all other small animals,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large amaranth</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small one</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rapeseed</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this done, you will arrange the legs, securing them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then,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fill up all the empty space around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is to say what is between the two shells, in order that the sand entering there does not prevent it from releasing. And because the legs should be lower than the shell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belly, make a little pit in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 adapt them there.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tall</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When they are better mortified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rested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they bend and are handled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6">
      <w:pPr>
        <w:contextualSpacing w:val="0"/>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animal eyes of my invention</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B">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emg1MXZLREtSRk0" TargetMode="External"/><Relationship Id="rId7"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