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doncq par le milieu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uis les bords.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fayre,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quarrée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tu presseras esgallement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quelquefois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autrefois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insy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empraindras sans le rompre. Si du premier coup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moulé, retournes y plusieurs fois.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unis par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moictiés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couper,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escaille. Et si ta medaille ne sort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mesme,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qui est raboteux, et elle despouillera.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nos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toucher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costé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eulement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doit estre plus 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selon la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ultrement il se </w:t>
      </w:r>
      <w:r w:rsidDel="00000000" w:rsidR="00000000" w:rsidRPr="00000000">
        <w:rPr>
          <w:rtl w:val="0"/>
        </w:rPr>
        <w:t xml:space="preserve">creveroit,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dedans.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cir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puisse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c_145v_01&lt;/comment&gt;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Quand tu les moules,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si elles ne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droictes,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qu’elles ne se haulssent,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 le sable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fort affin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s’assoye partout,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grumeleus.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Pource 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mects poinct en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quelque-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que tu l’as gecté.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deffaire,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grand coup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C’est assés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car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recuire deulx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Gecte bien rouge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sans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æsion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0T19:32:2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that is a mark that is not inside of an &lt;ab&gt; will not render without one. Adding &lt;ab&gt;s around the figure here is simply to ensure rendering, but this may not be the ideal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