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147r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p146v_1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heed to make a border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all around the edge of the top shell, which is towards the tail, in order the make the vents better. And make two little strings of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connecting from the end the belly shell to the said edge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around the shell of the spine, and make sure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tail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stays between these two strings. This is to makes the </w:t>
      </w:r>
      <w:commentRangeStart w:id="0"/>
      <w:r w:rsidDel="00000000" w:rsidR="00000000" w:rsidRPr="00000000">
        <w:rPr>
          <w:rtl w:val="0"/>
        </w:rPr>
        <w:t xml:space="preserve">v</w:t>
      </w:r>
      <w:commentRangeEnd w:id="0"/>
      <w:r w:rsidDel="00000000" w:rsidR="00000000" w:rsidRPr="00000000">
        <w:commentReference w:id="0"/>
      </w:r>
      <w:r w:rsidDel="00000000" w:rsidR="00000000" w:rsidRPr="00000000">
        <w:rPr>
          <w:rtl w:val="0"/>
        </w:rPr>
        <w:t xml:space="preserve">ents better. This done,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what appears of the shell. Put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circle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before, observing there what you have observed. Do the same to mold the third part, which is the tail. And having set,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uncover your 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remove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contour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clean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smooth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flatten it on all sides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like for 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Dip it lightly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then try to release it. Usually one begins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back</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backshell,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 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that is to say,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on top, which is in two halves, and this one is easier to release. The other one follows after, but because it is neighboring the shoulder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which are deeply ensconced, it is sometimes awkward. Thusly, when moving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pulling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gently, take heed to pull the one which will present itself as the easiest, for one needs to release one after the other. The most awkward of all is the one which molds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throat, the underneaths of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hollow shoulder pieces, which are of such bad release that if you had not provided for it, by filling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before molding what does not release well, it will be awkward for you to pull your pieces out without breaking something. But should this happen to you, there is still a remedy, provided that you keep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broken pieces. For you can reassemble them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rather strong iron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fill the crack or fault that could be there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as with others, in order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to mold hollow is made better. Next</w:t>
      </w:r>
    </w:p>
    <w:p w:rsidR="00000000" w:rsidDel="00000000" w:rsidP="00000000" w:rsidRDefault="00000000" w:rsidRPr="00000000" w14:paraId="00000007">
      <w:pPr>
        <w:contextualSpacing w:val="0"/>
        <w:rPr/>
      </w:pP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Go to the second leaf</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To avoid breaking when releasing, take heed to uncover well up until what can hold.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8-07-13T14:37:3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Exceptionally, gect was translated as vent and not gate.  PHS 13/7/2018.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