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tl w:val="0"/>
        </w:rPr>
        <w:t xml:space="preserve"> 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avec icelle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la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diverses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c_150r_01&lt;/comment&gt;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choses creuses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resque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sont espes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deux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strike w:val="0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sont moings subgects a se fendre en recuisant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fort espes que quand ilz sont de 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 quelle soict suffisante Car estant </w:t>
      </w:r>
      <w:r w:rsidDel="00000000" w:rsidR="00000000" w:rsidRPr="00000000">
        <w:rPr>
          <w:color w:val="000000"/>
          <w:rtl w:val="0"/>
        </w:rPr>
        <w:t xml:space="preserve">tanvres </w:t>
      </w:r>
      <w:r w:rsidDel="00000000" w:rsidR="00000000" w:rsidRPr="00000000">
        <w:rPr>
          <w:color w:val="000000"/>
          <w:rtl w:val="0"/>
        </w:rPr>
        <w:t xml:space="preserve">ilz nont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besoing destre gueres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longueur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les fait corrompre Mesmement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pas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recuire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que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pourcequil y fault plus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violent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un Et lentredeulx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reserrant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reverberent lun lautre 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plus souvant tu trouveras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coste que dun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Recuits donc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seul ny faisant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pour le couvrir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pourceque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saigrissent en les fondant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rouges pour ladoulcir fonds le sans le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gecte en verge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refroidist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ce nestoit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liaison elle ne seroit point necessaire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ne peuvent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 Mays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on ne veult gecter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medailles plattes nestant que seches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fermes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0:09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 left of the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5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