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fort fantasque à gecter.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fort chault. Et pour mieulx en venir à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esclarcir.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faire mieulx courre.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laisse tousjours une 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demande pas si long gect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que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un peu amorty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neantmoins rouge par dedans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sort du foeu,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vehemente exhalation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foeu, ne re</w:t>
      </w:r>
      <w:r w:rsidDel="00000000" w:rsidR="00000000" w:rsidRPr="00000000">
        <w:rPr>
          <w:rtl w:val="0"/>
        </w:rPr>
        <w:t xml:space="preserve">ço</w:t>
      </w:r>
      <w:r w:rsidDel="00000000" w:rsidR="00000000" w:rsidRPr="00000000">
        <w:rPr>
          <w:color w:val="000000"/>
          <w:rtl w:val="0"/>
        </w:rPr>
        <w:t xml:space="preserve">it pas si bien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bien le gect longuet.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soubdant endure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gecte dessus. 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saulteroit,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ceste cause on jecte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aprés le gect,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Renforcer les fleurs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delicates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hoses delicates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herbages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une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legere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au derriere des 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fleurs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besoing. Mais on renforce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petits 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petits animales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soubstenir.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foeuiles se moulent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raportent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pource que les fruict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gecte massif,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ce moyen il est poisant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deliée ne les pourroit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sans se rompre bien tost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faict les queues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