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&lt;page&gt;157v&lt;/page&gt;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&lt;image&gt;http://gallica.bnf.fr/ark:/12148/btv1b10500001g/f320.image&lt;/image&gt;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&lt;head&gt;Ash in the molds&lt;/head&gt;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mold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ashes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mold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vapeur&lt;/fr&gt;.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&lt;head&gt;Molding a &lt;al&gt;bird&lt;/al&gt;&lt;/head&gt;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&lt;m&gt;clay&lt;/m&gt; </w:t>
      </w:r>
      <w:r w:rsidDel="00000000" w:rsidR="00000000" w:rsidRPr="00000000">
        <w:rPr>
          <w:sz w:val="20"/>
          <w:szCs w:val="20"/>
          <w:rtl w:val="0"/>
        </w:rPr>
        <w:t xml:space="preserve">slab,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&lt;al&gt;bird&lt;/al&gt;, &lt;add&gt;</w:t>
      </w:r>
      <w:r w:rsidDel="00000000" w:rsidR="00000000" w:rsidRPr="00000000">
        <w:rPr>
          <w:sz w:val="20"/>
          <w:szCs w:val="20"/>
          <w:rtl w:val="0"/>
        </w:rPr>
        <w:t xml:space="preserve">in order&lt;/add&gt;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&lt;m&gt;butter&lt;/m&gt;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&lt;/m&gt;.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bone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&lt;m&gt;quicksilver&lt;/m&gt;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mold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bones.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solid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&lt;al&gt;bird&lt;/al&gt;.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&lt;m&gt;iron&lt;/m&gt; thread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frame.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&lt;fr&gt;en noyau&lt;/fr&gt;,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&lt;ab&gt;&lt;margin&gt;left-middle&lt;/margin&gt;They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 up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&lt;m&gt;cotton cloth&lt;/m&gt;.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&lt;/pro&gt;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feather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&lt;m&gt;alum&lt;/m&gt;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paste of &lt;m&gt;flour&lt;/m&gt;.&lt;/ab&gt;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h&lt;exp&gt;…&lt;/exp&gt;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f&lt;exp&gt;…&lt;/exp&gt;rs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&lt;x&gt;?&lt;/x&gt;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Take a sock from the right &lt;del&gt;d&lt;/del&gt;</w:t>
      </w:r>
      <w:r w:rsidDel="00000000" w:rsidR="00000000" w:rsidRPr="00000000">
        <w:rPr>
          <w:sz w:val="20"/>
          <w:szCs w:val="20"/>
          <w:rtl w:val="0"/>
        </w:rPr>
        <w:t xml:space="preserve">&lt;add&gt;t</w:t>
      </w:r>
      <w:r w:rsidDel="00000000" w:rsidR="00000000" w:rsidRPr="00000000">
        <w:rPr>
          <w:sz w:val="20"/>
          <w:szCs w:val="20"/>
          <w:rtl w:val="0"/>
        </w:rPr>
        <w:t xml:space="preserve">&lt;/add&gt; foot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 and make it soak in &lt;m&gt;water&lt;/m&gt;, and make that same person or someone else drink the &lt;m&gt;water&lt;/m&gt; that comes out from it, and you will see marvels.&lt;/ab&gt;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