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z w:val="20"/>
          <w:szCs w:val="20"/>
          <w:rtl w:val="0"/>
        </w:rPr>
        <w:t xml:space="preserve">solid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iron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cotton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paste of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c_157v_02&lt;/comment&gt;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sock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z w:val="20"/>
          <w:szCs w:val="20"/>
          <w:rtl w:val="0"/>
        </w:rPr>
        <w:t xml:space="preserve">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and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0"/>
          <w:szCs w:val="20"/>
          <w:rtl w:val="0"/>
        </w:rPr>
        <w:t xml:space="preserve">drink 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it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and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that comes out, make that same person or someone else drink it, and you will see marvels.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written in 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