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164v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http://gallica.bnf.fr/ark:/12148/btv1b10500001g/f334.item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those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which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in which one needs to burn something, and which do not open before being reheated, one does not make any casts before it is reheated. For large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which the gate is big and ample, it is necessary that the gate be well notched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scratched, in order that the weight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does not go with much force. They make hardly any fins if they are pressed. But before pressing them, put between them and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press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pieces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mouflé</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felt</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which is hardly yet crushed, for it fills the concavities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keeps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from breaking.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should be placed before reheating or drying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from which you make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to arrange your animal, is too soft,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 you put in it come out easily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come undone when you thrown in the sand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thus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spoils and the shape comes undone. Therefore when you recognise that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slab</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is too tender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soft, spread on top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hot 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blow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bellows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p164v_2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Sable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there is not enough good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it will easily break in the fire. But if it is mixed with it, as it should be, it withstands it. One recognizes it as good when, being hot after the cast, it quickly imbibes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when one quenches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it in it</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rends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breaks easily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alum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render it spongy. Contrarily, bad sand, which is only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little mixed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alum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breaks easily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hardens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Cast, if possible, all in one go.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Even though you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want to be well dried, especially when they are large, and one needs to redden them on the outside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keep them in continuous heat, until they no longer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smoke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from inside. Do not place them to reheat at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different moments, but continue once you have started</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 And do not place them to cool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cold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with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for they would break, but leave them to become lukewarm near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when they are when they are still of such a heat as you have noticed before putting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in the hole, cast. And when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is large, it needs more time to reheat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dry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one needs to cast hotter.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