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&lt;id&gt;p169r_1&lt;/id&gt;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Animaulx a 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-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a diverses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un vase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u w:val="non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herbes</w:t>
      </w:r>
      <w:r w:rsidDel="00000000" w:rsidR="00000000" w:rsidRPr="00000000">
        <w:rPr>
          <w:color w:val="000000"/>
          <w:rtl w:val="0"/>
        </w:rPr>
        <w:t xml:space="preserve"> qui ont besoing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&lt;underline&gt;&lt;tl&gt;</w:t>
      </w:r>
      <w:r w:rsidDel="00000000" w:rsidR="00000000" w:rsidRPr="00000000">
        <w:rPr>
          <w:color w:val="000000"/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soubstenir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un bouquet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creux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oré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-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mis et veu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Barbots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Mousches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Chauvesouris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- m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Medailles stampées pleines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grandes pieces de taille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et faire caves d'animaulx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is et veu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Cef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moulé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Espesseur d'une 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fort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une bague de ce qui est grav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pieces de carquans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Choses qui ne sont point de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Diverses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apliquées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Adoulcir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y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Graver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l'attendrir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ailloux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noirs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calcinés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