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i w:val="0"/>
          <w:color w:val="2A7F73"/>
          <w:sz w:val="19"/>
        </w:rPr>
        <w:t>GUIA PARA CONVERSA COM A PREFEITURA</w:t>
      </w:r>
    </w:p>
    <w:p>
      <w:pPr>
        <w:spacing w:after="120"/>
      </w:pPr>
      <w:r>
        <w:rPr>
          <w:rFonts w:ascii="Calibri" w:hAnsi="Calibri"/>
          <w:b/>
          <w:i w:val="0"/>
          <w:color w:val="17324D"/>
          <w:sz w:val="56"/>
        </w:rPr>
        <w:t>Como participar do Observatório Turístico</w:t>
      </w:r>
    </w:p>
    <w:p>
      <w:pPr>
        <w:spacing w:after="280" w:line="276" w:lineRule="auto"/>
      </w:pPr>
      <w:r>
        <w:rPr>
          <w:rFonts w:ascii="Calibri" w:hAnsi="Calibri"/>
          <w:b w:val="0"/>
          <w:i w:val="0"/>
          <w:color w:val="5B6573"/>
          <w:sz w:val="28"/>
        </w:rPr>
        <w:t>Um caminho simples para pousadas com CNPJ e para quem aluga casa ou recebe hóspedes sem CNPJ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  <w:insideH w:val="single" w:sz="8" w:color="D7E1EA"/>
              <w:insideV w:val="single" w:sz="8" w:color="D7E1EA"/>
            </w:tcBorders>
            <w:vAlign w:val="center"/>
            <w:shd w:fill="EAF3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>Para</w:t>
            </w:r>
          </w:p>
        </w:tc>
        <w:tc>
          <w:tcPr>
            <w:tcW w:type="dxa" w:w="7760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  <w:insideH w:val="single" w:sz="8" w:color="D7E1EA"/>
              <w:insideV w:val="single" w:sz="8" w:color="D7E1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Prefeitura Municipal de Prado, associação local, pousadas e anfitriões</w:t>
            </w:r>
          </w:p>
        </w:tc>
      </w:tr>
      <w:tr>
        <w:trPr/>
        <w:tc>
          <w:tcPr>
            <w:tcW w:type="dxa" w:w="1600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  <w:insideH w:val="single" w:sz="8" w:color="D7E1EA"/>
              <w:insideV w:val="single" w:sz="8" w:color="D7E1EA"/>
            </w:tcBorders>
            <w:vAlign w:val="center"/>
            <w:shd w:fill="EAF3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>Uso</w:t>
            </w:r>
          </w:p>
        </w:tc>
        <w:tc>
          <w:tcPr>
            <w:tcW w:type="dxa" w:w="7760"/>
            <w:tcBorders>
              <w:top w:val="single" w:sz="8" w:color="D7E1EA"/>
              <w:left w:val="single" w:sz="8" w:color="D7E1EA"/>
              <w:bottom w:val="single" w:sz="8" w:color="D7E1EA"/>
              <w:right w:val="single" w:sz="8" w:color="D7E1EA"/>
              <w:insideH w:val="single" w:sz="8" w:color="D7E1EA"/>
              <w:insideV w:val="single" w:sz="8" w:color="D7E1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Leitura fácil, reunião, impressão e compartilhamento por PDF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AF5F1"/>
            <w:tcBorders>
              <w:top w:val="single" w:sz="10" w:color="2A7F73"/>
              <w:left w:val="single" w:sz="10" w:color="2A7F73"/>
              <w:bottom w:val="single" w:sz="10" w:color="2A7F73"/>
              <w:right w:val="single" w:sz="10" w:color="2A7F73"/>
              <w:insideH w:val="single" w:sz="10" w:color="2A7F73"/>
              <w:insideV w:val="single" w:sz="10" w:color="2A7F7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2A7F73"/>
                <w:sz w:val="22"/>
              </w:rPr>
              <w:t>FUNCIONA NOS DOIS CASOS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Uma pousada formal e uma pessoa física que aluga uma casa podem participar do Observatório local. O cadastro local não pede CNPJ, CPF, Cadastur nem chave da FNRH.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2E74B5"/>
          <w:sz w:val="32"/>
        </w:rPr>
        <w:t>Cinco coisas para lembrar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O Observatório aceita pousada, casa de temporada, hospedagem familiar, camping e local em regularização.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 pessoa informa apenas nome de uso, tipo de hospedagem e capacidade aproximada.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CNPJ, CPF, Cadastur e chave FNRH não fazem parte do cadastro local.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 FNRH é um caminho federal separado e opcional, somente quando realmente aplicável.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 área pública mostra indicadores agregados; não mostra nomes de hóspedes ou de participantes.</w:t>
      </w:r>
    </w:p>
    <w:p>
      <w:pPr>
        <w:keepNext w:val="0"/>
        <w:keepLines/>
        <w:widowControl/>
        <w:spacing w:after="0" w:line="300" w:lineRule="auto"/>
      </w:pPr>
      <w:r>
        <w:rPr>
          <w:rFonts w:ascii="Calibri" w:hAnsi="Calibri"/>
          <w:b w:val="0"/>
          <w:i/>
          <w:color w:val="5B6573"/>
          <w:sz w:val="22"/>
        </w:rPr>
        <w:t>Hoje o sistema continua como protótipo demonstrativo. Até a governança ser formalizada, a apresentação deve usar somente dados fictícios.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2A7F73"/>
          <w:sz w:val="18"/>
        </w:rPr>
        <w:t>PARTE 1</w:t>
      </w:r>
    </w:p>
    <w:p>
      <w:pPr>
        <w:keepNext/>
        <w:keepLines/>
        <w:widowControl/>
        <w:spacing w:after="80"/>
      </w:pPr>
      <w:r>
        <w:rPr>
          <w:rFonts w:ascii="Calibri" w:hAnsi="Calibri"/>
          <w:b/>
          <w:i w:val="0"/>
          <w:color w:val="17324D"/>
          <w:sz w:val="44"/>
        </w:rPr>
        <w:t>O caminho local em quatro passos</w:t>
      </w:r>
    </w:p>
    <w:p>
      <w:pPr>
        <w:keepNext w:val="0"/>
        <w:keepLines/>
        <w:widowControl/>
        <w:spacing w:after="280"/>
      </w:pPr>
      <w:r>
        <w:rPr>
          <w:rFonts w:ascii="Calibri" w:hAnsi="Calibri"/>
          <w:b w:val="0"/>
          <w:i w:val="0"/>
          <w:color w:val="5B6573"/>
          <w:sz w:val="23"/>
        </w:rPr>
        <w:t>É este caminho que atende a maior parte das hospedagens da comunidade.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1. Entrar no Observatório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 pessoa acessa a área da hospedagem com sua conta autorizada.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2. Cadastrar o local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Informa nome de uso, tipo e capacidade aproximada. Não informa CPF, CNPJ, Cadastur ou chave.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3. Registrar a estadia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Preenche somente os dados necessários para a operação local e para os indicadores permitidos.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4. Acompanhar os resultados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 hospedagem vê sua operação; a área pública recebe somente números agregados e protegidos.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BF4DF"/>
            <w:tcBorders>
              <w:top w:val="single" w:sz="10" w:color="7A5A00"/>
              <w:left w:val="single" w:sz="10" w:color="7A5A00"/>
              <w:bottom w:val="single" w:sz="10" w:color="7A5A00"/>
              <w:right w:val="single" w:sz="10" w:color="7A5A00"/>
              <w:insideH w:val="single" w:sz="10" w:color="7A5A00"/>
              <w:insideV w:val="single" w:sz="10" w:color="7A5A0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O QUE SIGNIFICA ‘ATIVO’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Significa apenas que o local consegue usar o fluxo do Observatório. Não é alvará, aprovação municipal, Cadastur ou autorização automática para a FNRH.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2E74B5"/>
          <w:sz w:val="32"/>
        </w:rPr>
        <w:t>Tipos que a tela oferece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Pousada, hotel ou outro meio de hospedagem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Casa ou imóvel de temporada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Hospedagem familiar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Camping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Em regularização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Outro tipo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2A7F73"/>
          <w:sz w:val="18"/>
        </w:rPr>
        <w:t>PARTE 2</w:t>
      </w:r>
    </w:p>
    <w:p>
      <w:pPr>
        <w:keepNext/>
        <w:keepLines/>
        <w:widowControl/>
        <w:spacing w:after="80"/>
      </w:pPr>
      <w:r>
        <w:rPr>
          <w:rFonts w:ascii="Calibri" w:hAnsi="Calibri"/>
          <w:b/>
          <w:i w:val="0"/>
          <w:color w:val="17324D"/>
          <w:sz w:val="44"/>
        </w:rPr>
        <w:t>Quem pode participar</w:t>
      </w:r>
    </w:p>
    <w:p>
      <w:pPr>
        <w:keepNext w:val="0"/>
        <w:keepLines/>
        <w:widowControl/>
        <w:spacing w:after="280"/>
      </w:pPr>
      <w:r>
        <w:rPr>
          <w:rFonts w:ascii="Calibri" w:hAnsi="Calibri"/>
          <w:b w:val="0"/>
          <w:i w:val="0"/>
          <w:color w:val="5B6573"/>
          <w:sz w:val="23"/>
        </w:rPr>
        <w:t>A regra local é inclusiva: ninguém precisa inventar um CNPJ para entrar.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500"/>
        <w:gridCol w:w="1800"/>
        <w:gridCol w:w="3660"/>
      </w:tblGrid>
      <w:tr>
        <w:trPr>
          <w:tblHeader w:val="true"/>
          <w:tblHeader w:val="true"/>
        </w:trPr>
        <w:tc>
          <w:tcPr>
            <w:tcW w:type="dxa" w:w="2400"/>
            <w:shd w:fill="E8EEF5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Perfil</w:t>
            </w:r>
          </w:p>
        </w:tc>
        <w:tc>
          <w:tcPr>
            <w:tcW w:type="dxa" w:w="1500"/>
            <w:shd w:fill="E8EEF5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Observatório</w:t>
            </w:r>
          </w:p>
        </w:tc>
        <w:tc>
          <w:tcPr>
            <w:tcW w:type="dxa" w:w="1800"/>
            <w:shd w:fill="E8EEF5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CNPJ no cadastro</w:t>
            </w:r>
          </w:p>
        </w:tc>
        <w:tc>
          <w:tcPr>
            <w:tcW w:type="dxa" w:w="3660"/>
            <w:shd w:fill="E8EEF5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FNRH</w:t>
            </w:r>
          </w:p>
        </w:tc>
      </w:tr>
      <w:tr>
        <w:trPr/>
        <w:tc>
          <w:tcPr>
            <w:tcW w:type="dxa" w:w="24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Pousada formal</w:t>
            </w:r>
          </w:p>
        </w:tc>
        <w:tc>
          <w:tcPr>
            <w:tcW w:type="dxa" w:w="15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A7F73"/>
                <w:sz w:val="19"/>
              </w:rPr>
              <w:t>Sim</w:t>
            </w:r>
          </w:p>
        </w:tc>
        <w:tc>
          <w:tcPr>
            <w:tcW w:type="dxa" w:w="18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A7F73"/>
                <w:sz w:val="19"/>
              </w:rPr>
              <w:t>Não</w:t>
            </w:r>
          </w:p>
        </w:tc>
        <w:tc>
          <w:tcPr>
            <w:tcW w:type="dxa" w:w="366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Pode existir depois, em fluxo separado e com chave própria.</w:t>
            </w:r>
          </w:p>
        </w:tc>
      </w:tr>
      <w:tr>
        <w:trPr/>
        <w:tc>
          <w:tcPr>
            <w:tcW w:type="dxa" w:w="24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Casa de temporada sem CNPJ</w:t>
            </w:r>
          </w:p>
        </w:tc>
        <w:tc>
          <w:tcPr>
            <w:tcW w:type="dxa" w:w="15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A7F73"/>
                <w:sz w:val="19"/>
              </w:rPr>
              <w:t>Sim</w:t>
            </w:r>
          </w:p>
        </w:tc>
        <w:tc>
          <w:tcPr>
            <w:tcW w:type="dxa" w:w="18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A7F73"/>
                <w:sz w:val="19"/>
              </w:rPr>
              <w:t>Não</w:t>
            </w:r>
          </w:p>
        </w:tc>
        <w:tc>
          <w:tcPr>
            <w:tcW w:type="dxa" w:w="366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Não é exigida para participar do Observatório local.</w:t>
            </w:r>
          </w:p>
        </w:tc>
      </w:tr>
      <w:tr>
        <w:trPr/>
        <w:tc>
          <w:tcPr>
            <w:tcW w:type="dxa" w:w="24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Hospedagem familiar</w:t>
            </w:r>
          </w:p>
        </w:tc>
        <w:tc>
          <w:tcPr>
            <w:tcW w:type="dxa" w:w="15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A7F73"/>
                <w:sz w:val="19"/>
              </w:rPr>
              <w:t>Sim</w:t>
            </w:r>
          </w:p>
        </w:tc>
        <w:tc>
          <w:tcPr>
            <w:tcW w:type="dxa" w:w="18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A7F73"/>
                <w:sz w:val="19"/>
              </w:rPr>
              <w:t>Não</w:t>
            </w:r>
          </w:p>
        </w:tc>
        <w:tc>
          <w:tcPr>
            <w:tcW w:type="dxa" w:w="366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Não é exigida para participar do Observatório local.</w:t>
            </w:r>
          </w:p>
        </w:tc>
      </w:tr>
      <w:tr>
        <w:trPr/>
        <w:tc>
          <w:tcPr>
            <w:tcW w:type="dxa" w:w="24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Camping ou local em regularização</w:t>
            </w:r>
          </w:p>
        </w:tc>
        <w:tc>
          <w:tcPr>
            <w:tcW w:type="dxa" w:w="15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A7F73"/>
                <w:sz w:val="19"/>
              </w:rPr>
              <w:t>Sim</w:t>
            </w:r>
          </w:p>
        </w:tc>
        <w:tc>
          <w:tcPr>
            <w:tcW w:type="dxa" w:w="18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A7F73"/>
                <w:sz w:val="19"/>
              </w:rPr>
              <w:t>Não</w:t>
            </w:r>
          </w:p>
        </w:tc>
        <w:tc>
          <w:tcPr>
            <w:tcW w:type="dxa" w:w="366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Enquadramento federal deve ser analisado separadamente.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AF3F8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EXEMPLO A — POUSADA FORMAL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A Pousada Mar Azul, nome fictício, cadastra nome, tipo e capacidade. Ela usa o Observatório sem fornecer CNPJ ou chave. Se um dia estiver habilitada para a FNRH, configura sua própria chave em um fluxo separado.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AF5F1"/>
            <w:tcBorders>
              <w:top w:val="single" w:sz="10" w:color="2A7F73"/>
              <w:left w:val="single" w:sz="10" w:color="2A7F73"/>
              <w:bottom w:val="single" w:sz="10" w:color="2A7F73"/>
              <w:right w:val="single" w:sz="10" w:color="2A7F73"/>
              <w:insideH w:val="single" w:sz="10" w:color="2A7F73"/>
              <w:insideV w:val="single" w:sz="10" w:color="2A7F7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2A7F73"/>
                <w:sz w:val="22"/>
              </w:rPr>
              <w:t>EXEMPLO B — CASA SEM CNPJ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Joana, personagem fictícia, aluga uma casa como pessoa física. Ela escolhe ‘Casa ou imóvel de temporada’, informa a capacidade e participa do Observatório. Não usa o CNPJ de outra pessoa e não precisa de chave FNRH para começar.</w:t>
            </w:r>
          </w:p>
        </w:tc>
      </w:tr>
    </w:tbl>
    <w:p>
      <w:pPr>
        <w:spacing w:after="60"/>
      </w:pP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/>
          <w:color w:val="5B6573"/>
          <w:sz w:val="22"/>
        </w:rPr>
        <w:t>Participar do Observatório não cria nem elimina obrigação legal. Formalização, fiscalização e enquadramento continuam sendo tratados pelos órgãos competentes.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2A7F73"/>
          <w:sz w:val="18"/>
        </w:rPr>
        <w:t>PARTE 3</w:t>
      </w:r>
    </w:p>
    <w:p>
      <w:pPr>
        <w:keepNext/>
        <w:keepLines/>
        <w:widowControl/>
        <w:spacing w:after="80"/>
      </w:pPr>
      <w:r>
        <w:rPr>
          <w:rFonts w:ascii="Calibri" w:hAnsi="Calibri"/>
          <w:b/>
          <w:i w:val="0"/>
          <w:color w:val="17324D"/>
          <w:sz w:val="44"/>
        </w:rPr>
        <w:t>Quem faz o quê</w:t>
      </w:r>
    </w:p>
    <w:p>
      <w:pPr>
        <w:keepNext w:val="0"/>
        <w:keepLines/>
        <w:widowControl/>
        <w:spacing w:after="280"/>
      </w:pPr>
      <w:r>
        <w:rPr>
          <w:rFonts w:ascii="Calibri" w:hAnsi="Calibri"/>
          <w:b w:val="0"/>
          <w:i w:val="0"/>
          <w:color w:val="5B6573"/>
          <w:sz w:val="23"/>
        </w:rPr>
        <w:t>A melhor forma de simplificar é não misturar o projeto local com a obrigação federal.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Prefeitura Municipal de Prado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Define finalidade, responsáveis, limites do piloto, proteção de dados e prestação de contas. Não precisa operar o sistema nem gerar chaves.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Associação ou organização local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Explica o projeto, mobiliza pousadas e anfitriões e oferece ajuda presencial. Não recebe documentos fiscais ou chaves em planilhas e mensagens.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Pousada ou anfitrião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Cadastra o próprio local, registra sua operação e decide se quer participar. Se existir obrigação FNRH, trata essa etapa em separado.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Equipe técnica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Mantém o sistema simples, acessível, seguro e separado por participante. Não decide enquadramento jurídico.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Responsável jurídico e de privacidade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Confirma papéis, finalidade, aviso, base legal, retenção, atendimento e condições para sair do protótipo.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BF4DF"/>
            <w:tcBorders>
              <w:top w:val="single" w:sz="10" w:color="7A5A00"/>
              <w:left w:val="single" w:sz="10" w:color="7A5A00"/>
              <w:bottom w:val="single" w:sz="10" w:color="7A5A00"/>
              <w:right w:val="single" w:sz="10" w:color="7A5A00"/>
              <w:insideH w:val="single" w:sz="10" w:color="7A5A00"/>
              <w:insideV w:val="single" w:sz="10" w:color="7A5A0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REGRA DE OURO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O sistema registra a realidade local. Ele não transforma uma casa em pousada formal e não usa categoria, CNPJ ou Cadastur como parecer jurídico automático.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2A7F73"/>
          <w:sz w:val="18"/>
        </w:rPr>
        <w:t>PARTE 4</w:t>
      </w:r>
    </w:p>
    <w:p>
      <w:pPr>
        <w:keepNext/>
        <w:keepLines/>
        <w:widowControl/>
        <w:spacing w:after="80"/>
      </w:pPr>
      <w:r>
        <w:rPr>
          <w:rFonts w:ascii="Calibri" w:hAnsi="Calibri"/>
          <w:b/>
          <w:i w:val="0"/>
          <w:color w:val="17324D"/>
          <w:sz w:val="44"/>
        </w:rPr>
        <w:t>Uma reunião de 30 minutos basta para começar</w:t>
      </w:r>
    </w:p>
    <w:p>
      <w:pPr>
        <w:keepNext w:val="0"/>
        <w:keepLines/>
        <w:widowControl/>
        <w:spacing w:after="280"/>
      </w:pPr>
      <w:r>
        <w:rPr>
          <w:rFonts w:ascii="Calibri" w:hAnsi="Calibri"/>
          <w:b w:val="0"/>
          <w:i w:val="0"/>
          <w:color w:val="5B6573"/>
          <w:sz w:val="23"/>
        </w:rPr>
        <w:t>O objetivo é validar o caminho inclusivo e definir responsabilidades, sem discutir código.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600"/>
        <w:gridCol w:w="5560"/>
      </w:tblGrid>
      <w:tr>
        <w:trPr>
          <w:tblHeader w:val="true"/>
          <w:tblHeader w:val="true"/>
        </w:trPr>
        <w:tc>
          <w:tcPr>
            <w:tcW w:type="dxa" w:w="1200"/>
            <w:shd w:fill="E8EEF5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Tempo</w:t>
            </w:r>
          </w:p>
        </w:tc>
        <w:tc>
          <w:tcPr>
            <w:tcW w:type="dxa" w:w="2600"/>
            <w:shd w:fill="E8EEF5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Conversa</w:t>
            </w:r>
          </w:p>
        </w:tc>
        <w:tc>
          <w:tcPr>
            <w:tcW w:type="dxa" w:w="5560"/>
            <w:shd w:fill="E8EEF5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Saída esperada</w:t>
            </w:r>
          </w:p>
        </w:tc>
      </w:tr>
      <w:tr>
        <w:trPr/>
        <w:tc>
          <w:tcPr>
            <w:tcW w:type="dxa" w:w="12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A7F73"/>
                <w:sz w:val="20"/>
              </w:rPr>
              <w:t>5 min</w:t>
            </w:r>
          </w:p>
        </w:tc>
        <w:tc>
          <w:tcPr>
            <w:tcW w:type="dxa" w:w="26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Explicar o objetivo</w:t>
            </w:r>
          </w:p>
        </w:tc>
        <w:tc>
          <w:tcPr>
            <w:tcW w:type="dxa" w:w="556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Confirmar que pousadas e pessoas físicas podem participar do caminho local.</w:t>
            </w:r>
          </w:p>
        </w:tc>
      </w:tr>
      <w:tr>
        <w:trPr/>
        <w:tc>
          <w:tcPr>
            <w:tcW w:type="dxa" w:w="12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A7F73"/>
                <w:sz w:val="20"/>
              </w:rPr>
              <w:t>10 min</w:t>
            </w:r>
          </w:p>
        </w:tc>
        <w:tc>
          <w:tcPr>
            <w:tcW w:type="dxa" w:w="26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Mostrar a demonstração</w:t>
            </w:r>
          </w:p>
        </w:tc>
        <w:tc>
          <w:tcPr>
            <w:tcW w:type="dxa" w:w="556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Cadastrar uma pousada fictícia e uma casa fictícia sem CNPJ.</w:t>
            </w:r>
          </w:p>
        </w:tc>
      </w:tr>
      <w:tr>
        <w:trPr/>
        <w:tc>
          <w:tcPr>
            <w:tcW w:type="dxa" w:w="12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A7F73"/>
                <w:sz w:val="20"/>
              </w:rPr>
              <w:t>10 min</w:t>
            </w:r>
          </w:p>
        </w:tc>
        <w:tc>
          <w:tcPr>
            <w:tcW w:type="dxa" w:w="26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Definir responsáveis</w:t>
            </w:r>
          </w:p>
        </w:tc>
        <w:tc>
          <w:tcPr>
            <w:tcW w:type="dxa" w:w="556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Nomear quem autoriza, orienta participantes e responde por privacidade.</w:t>
            </w:r>
          </w:p>
        </w:tc>
      </w:tr>
      <w:tr>
        <w:trPr/>
        <w:tc>
          <w:tcPr>
            <w:tcW w:type="dxa" w:w="12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A7F73"/>
                <w:sz w:val="20"/>
              </w:rPr>
              <w:t>5 min</w:t>
            </w:r>
          </w:p>
        </w:tc>
        <w:tc>
          <w:tcPr>
            <w:tcW w:type="dxa" w:w="260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Combinar a próxima prova</w:t>
            </w:r>
          </w:p>
        </w:tc>
        <w:tc>
          <w:tcPr>
            <w:tcW w:type="dxa" w:w="5560"/>
            <w:tcBorders>
              <w:top w:val="single" w:sz="8" w:color="C9D4DF"/>
              <w:left w:val="single" w:sz="8" w:color="C9D4DF"/>
              <w:bottom w:val="single" w:sz="8" w:color="C9D4DF"/>
              <w:right w:val="single" w:sz="8" w:color="C9D4DF"/>
              <w:insideH w:val="single" w:sz="8" w:color="C9D4DF"/>
              <w:insideV w:val="single" w:sz="8" w:color="C9D4D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Registrar documentos e critérios para um futuro piloto com dados reais.</w:t>
            </w:r>
          </w:p>
        </w:tc>
      </w:tr>
    </w:tbl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2E74B5"/>
          <w:sz w:val="32"/>
        </w:rPr>
        <w:t>Decisões que precisam sair da reunião</w:t>
      </w:r>
    </w:p>
    <w:p>
      <w:pPr>
        <w:keepNext w:val="0"/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Quem representa formalmente a Prefeitura no projeto?</w:t>
      </w:r>
    </w:p>
    <w:p>
      <w:pPr>
        <w:keepNext w:val="0"/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Qual organização coordenará a participação local?</w:t>
      </w:r>
    </w:p>
    <w:p>
      <w:pPr>
        <w:keepNext w:val="0"/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Quem responderá por privacidade, incidentes e atendimento?</w:t>
      </w:r>
    </w:p>
    <w:p>
      <w:pPr>
        <w:keepNext w:val="0"/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Quem explicará o cadastro simples para pousadas e anfitriões?</w:t>
      </w:r>
    </w:p>
    <w:p>
      <w:pPr>
        <w:keepNext w:val="0"/>
        <w:keepLines/>
        <w:widowControl/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Quais evidências serão exigidas antes de usar qualquer dado real?</w:t>
      </w: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2E74B5"/>
          <w:sz w:val="32"/>
        </w:rPr>
        <w:t>O que não precisa ser levado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CNPJ, CPF, chave, senha ou token de qualquer pessoa.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Dados reais de hóspedes.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Código-fonte ou detalhes de servidores.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Promessa de que o sistema já está pronto para produção.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2A7F73"/>
          <w:sz w:val="18"/>
        </w:rPr>
        <w:t>PARTE 5</w:t>
      </w:r>
    </w:p>
    <w:p>
      <w:pPr>
        <w:keepNext/>
        <w:keepLines/>
        <w:widowControl/>
        <w:spacing w:after="80"/>
      </w:pPr>
      <w:r>
        <w:rPr>
          <w:rFonts w:ascii="Calibri" w:hAnsi="Calibri"/>
          <w:b/>
          <w:i w:val="0"/>
          <w:color w:val="17324D"/>
          <w:sz w:val="44"/>
        </w:rPr>
        <w:t>Onde entra a FNRH</w:t>
      </w:r>
    </w:p>
    <w:p>
      <w:pPr>
        <w:keepNext w:val="0"/>
        <w:keepLines/>
        <w:widowControl/>
        <w:spacing w:after="280"/>
      </w:pPr>
      <w:r>
        <w:rPr>
          <w:rFonts w:ascii="Calibri" w:hAnsi="Calibri"/>
          <w:b w:val="0"/>
          <w:i w:val="0"/>
          <w:color w:val="5B6573"/>
          <w:sz w:val="23"/>
        </w:rPr>
        <w:t>Somente depois — e somente para quem realmente precisa e pode usar.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AF3F8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>DOIS TRILHOS INDEPENDENTES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Trilho 1: Observatório local, sem CNPJ ou chave. Trilho 2: integração FNRH opcional, com enquadramento confirmado, homologação e chave própria do estabelecimento.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2E74B5"/>
          <w:sz w:val="32"/>
        </w:rPr>
        <w:t>O Observatório não gera a chave oficial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 chave é gerada pelo responsável ou supervisor da hospedagem no portal federal da FNRH. No futuro, o Observatório poderá orientar, abrir o portal e receber a chave por uma tela segura; não poderá fabricar a credencial.</w:t>
      </w: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2E74B5"/>
          <w:sz w:val="32"/>
        </w:rPr>
        <w:t>Uma pessoa física pode participar?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Do Observatório local, sim. Para gerar chave FNRH, CPF sozinho não basta no caminho geral. O estabelecimento precisa cumprir as regras oficiais aplicáveis. Existe uma hipótese específica para produtor rural ou agricultor familiar com CPF e CAEPF; ela não se aplica automaticamente a qualquer casa de temporada.</w:t>
      </w:r>
    </w:p>
    <w:p>
      <w:pPr>
        <w:pStyle w:val="Heading1"/>
        <w:keepNext/>
        <w:keepLines/>
        <w:widowControl/>
      </w:pPr>
      <w:r>
        <w:rPr>
          <w:rFonts w:ascii="Calibri" w:hAnsi="Calibri"/>
          <w:b/>
          <w:i w:val="0"/>
          <w:color w:val="2E74B5"/>
          <w:sz w:val="32"/>
        </w:rPr>
        <w:t>Pare e peça orientação quando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alguém propuser uma única chave para toda a comunidade;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 chave for solicitada por WhatsApp ou colocada em documento;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o cadastro local começar a pedir CPF ou CNPJ sem finalidade aprovada;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a categoria do local for tratada como parecer jurídico;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um teste local for apresentado como homologação oficial.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CECEC"/>
            <w:tcBorders>
              <w:top w:val="single" w:sz="10" w:color="9B1C1C"/>
              <w:left w:val="single" w:sz="10" w:color="9B1C1C"/>
              <w:bottom w:val="single" w:sz="10" w:color="9B1C1C"/>
              <w:right w:val="single" w:sz="10" w:color="9B1C1C"/>
              <w:insideH w:val="single" w:sz="10" w:color="9B1C1C"/>
              <w:insideV w:val="single" w:sz="10" w:color="9B1C1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LIMITE ATUAL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Este guia explica o desenho e o protótipo. Não comprova integração FNRH, não autoriza dados reais e não substitui decisão formal da Prefeitura e dos responsáveis por privacidade.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2A7F73"/>
          <w:sz w:val="18"/>
        </w:rPr>
        <w:t>PARTE 6</w:t>
      </w:r>
    </w:p>
    <w:p>
      <w:pPr>
        <w:keepNext/>
        <w:keepLines/>
        <w:widowControl/>
        <w:spacing w:after="80"/>
      </w:pPr>
      <w:r>
        <w:rPr>
          <w:rFonts w:ascii="Calibri" w:hAnsi="Calibri"/>
          <w:b/>
          <w:i w:val="0"/>
          <w:color w:val="17324D"/>
          <w:sz w:val="44"/>
        </w:rPr>
        <w:t>Perguntas rápidas</w:t>
      </w:r>
    </w:p>
    <w:p>
      <w:pPr>
        <w:keepNext w:val="0"/>
        <w:keepLines/>
        <w:widowControl/>
        <w:spacing w:after="280"/>
      </w:pPr>
      <w:r>
        <w:rPr>
          <w:rFonts w:ascii="Calibri" w:hAnsi="Calibri"/>
          <w:b w:val="0"/>
          <w:i w:val="0"/>
          <w:color w:val="5B6573"/>
          <w:sz w:val="23"/>
        </w:rPr>
        <w:t>Respostas curtas para manter a reunião no rumo.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Quem não tem CNPJ pode entrar?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Sim. Casa de temporada, hospedagem familiar e outros participantes usam o cadastro local sem CNPJ.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A pousada precisa informar o CNPJ?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Não no Observatório local. A formalização fica fora desse cadastro.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Precisa de chave FNRH para começar?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Não. A chave pertence somente ao caminho federal opcional.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O Observatório pode gerar a chave?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Não. Pode orientar e abrir o portal oficial; a emissão é feita pela própria hospedagem.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O painel público mostrará nomes?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Não. A área pública usa somente dados agregados e protegidos.</w:t>
      </w:r>
    </w:p>
    <w:p>
      <w:pPr>
        <w:pStyle w:val="Heading2"/>
        <w:keepNext/>
        <w:keepLines/>
        <w:widowControl/>
      </w:pPr>
      <w:r>
        <w:rPr>
          <w:rFonts w:ascii="Calibri" w:hAnsi="Calibri"/>
          <w:b/>
          <w:i w:val="0"/>
          <w:color w:val="2E74B5"/>
          <w:sz w:val="26"/>
        </w:rPr>
        <w:t>Já podemos colocar dados reais?</w:t>
      </w:r>
    </w:p>
    <w:p>
      <w:pPr>
        <w:keepNext w:val="0"/>
        <w:keepLines/>
        <w:widowControl/>
        <w:spacing w:after="120" w:line="300" w:lineRule="auto"/>
      </w:pPr>
      <w:r>
        <w:rPr>
          <w:rFonts w:ascii="Calibri" w:hAnsi="Calibri"/>
          <w:b w:val="0"/>
          <w:i w:val="0"/>
          <w:color w:val="1F2933"/>
          <w:sz w:val="22"/>
        </w:rPr>
        <w:t>Não. O ambiente atual é um protótipo com dados fictícios.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EAF5F1"/>
            <w:tcBorders>
              <w:top w:val="single" w:sz="10" w:color="2A7F73"/>
              <w:left w:val="single" w:sz="10" w:color="2A7F73"/>
              <w:bottom w:val="single" w:sz="10" w:color="2A7F73"/>
              <w:right w:val="single" w:sz="10" w:color="2A7F73"/>
              <w:insideH w:val="single" w:sz="10" w:color="2A7F73"/>
              <w:insideV w:val="single" w:sz="10" w:color="2A7F73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i w:val="0"/>
                <w:color w:val="2A7F73"/>
                <w:sz w:val="22"/>
              </w:rPr>
              <w:t>PRÓXIMA AÇÃO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Demonstre dois cadastros fictícios: uma pousada e uma casa de temporada sem CNPJ. Depois defina com a Prefeitura quem autoriza, quem orienta e quais provas serão necessárias antes de qualquer dado real.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2A7F73"/>
          <w:sz w:val="18"/>
        </w:rPr>
        <w:t>PARTE 7</w:t>
      </w:r>
    </w:p>
    <w:p>
      <w:pPr>
        <w:keepNext/>
        <w:keepLines/>
        <w:widowControl/>
        <w:spacing w:after="80"/>
      </w:pPr>
      <w:r>
        <w:rPr>
          <w:rFonts w:ascii="Calibri" w:hAnsi="Calibri"/>
          <w:b/>
          <w:i w:val="0"/>
          <w:color w:val="17324D"/>
          <w:sz w:val="44"/>
        </w:rPr>
        <w:t>Fontes oficiais</w:t>
      </w:r>
    </w:p>
    <w:p>
      <w:pPr>
        <w:keepNext w:val="0"/>
        <w:keepLines/>
        <w:widowControl/>
        <w:spacing w:after="280"/>
      </w:pPr>
      <w:r>
        <w:rPr>
          <w:rFonts w:ascii="Calibri" w:hAnsi="Calibri"/>
          <w:b w:val="0"/>
          <w:i w:val="0"/>
          <w:color w:val="5B6573"/>
          <w:sz w:val="23"/>
        </w:rPr>
        <w:t>Estas fontes dizem respeito ao caminho federal; o cadastro local do Observatório continua independente.</w:t>
      </w:r>
    </w:p>
    <w:p>
      <w:pPr>
        <w:spacing w:after="100" w:line="276" w:lineRule="auto"/>
      </w:pPr>
      <w:hyperlink r:id="rId11">
        <w:r>
          <w:rPr>
            <w:rFonts w:ascii="Calibri" w:hAnsi="Calibri"/>
            <w:color w:val="2E74B5"/>
            <w:u w:val="single"/>
            <w:sz w:val="20"/>
          </w:rPr>
          <w:t>Ministério do Turismo — Meios de Hospedagem com PMS</w:t>
        </w:r>
      </w:hyperlink>
      <w:r>
        <w:rPr>
          <w:rFonts w:ascii="Calibri" w:hAnsi="Calibri"/>
          <w:b w:val="0"/>
          <w:i w:val="0"/>
          <w:color w:val="5B6573"/>
          <w:sz w:val="20"/>
        </w:rPr>
        <w:t xml:space="preserve"> — orientação atual sobre chave própria por estabelecimento e documentação da integração</w:t>
      </w:r>
    </w:p>
    <w:p>
      <w:pPr>
        <w:spacing w:after="100" w:line="276" w:lineRule="auto"/>
      </w:pPr>
      <w:hyperlink r:id="rId12">
        <w:r>
          <w:rPr>
            <w:rFonts w:ascii="Calibri" w:hAnsi="Calibri"/>
            <w:color w:val="2E74B5"/>
            <w:u w:val="single"/>
            <w:sz w:val="20"/>
          </w:rPr>
          <w:t>Passo a passo oficial para gerar a chave</w:t>
        </w:r>
      </w:hyperlink>
      <w:r>
        <w:rPr>
          <w:rFonts w:ascii="Calibri" w:hAnsi="Calibri"/>
          <w:b w:val="0"/>
          <w:i w:val="0"/>
          <w:color w:val="5B6573"/>
          <w:sz w:val="20"/>
        </w:rPr>
        <w:t xml:space="preserve"> — manual oficial do Ministério do Turismo</w:t>
      </w:r>
    </w:p>
    <w:p>
      <w:pPr>
        <w:spacing w:after="100" w:line="276" w:lineRule="auto"/>
      </w:pPr>
      <w:hyperlink r:id="rId13">
        <w:r>
          <w:rPr>
            <w:rFonts w:ascii="Calibri" w:hAnsi="Calibri"/>
            <w:color w:val="2E74B5"/>
            <w:u w:val="single"/>
            <w:sz w:val="20"/>
          </w:rPr>
          <w:t>Serviço oficial do Cadastur</w:t>
        </w:r>
      </w:hyperlink>
      <w:r>
        <w:rPr>
          <w:rFonts w:ascii="Calibri" w:hAnsi="Calibri"/>
          <w:b w:val="0"/>
          <w:i w:val="0"/>
          <w:color w:val="5B6573"/>
          <w:sz w:val="20"/>
        </w:rPr>
        <w:t xml:space="preserve"> — requisitos gerais para prestadores de serviço turístico</w:t>
      </w:r>
    </w:p>
    <w:p>
      <w:pPr>
        <w:spacing w:after="100" w:line="276" w:lineRule="auto"/>
      </w:pPr>
      <w:hyperlink r:id="rId14">
        <w:r>
          <w:rPr>
            <w:rFonts w:ascii="Calibri" w:hAnsi="Calibri"/>
            <w:color w:val="2E74B5"/>
            <w:u w:val="single"/>
            <w:sz w:val="20"/>
          </w:rPr>
          <w:t>Portaria MTur nº 25/2025</w:t>
        </w:r>
      </w:hyperlink>
      <w:r>
        <w:rPr>
          <w:rFonts w:ascii="Calibri" w:hAnsi="Calibri"/>
          <w:b w:val="0"/>
          <w:i w:val="0"/>
          <w:color w:val="5B6573"/>
          <w:sz w:val="20"/>
        </w:rPr>
        <w:t xml:space="preserve"> — hipótese específica para produtor rural e agricultor familiar com CPF e CAEPF</w:t>
      </w:r>
    </w:p>
    <w:p>
      <w:pPr>
        <w:keepNext w:val="0"/>
        <w:keepLines/>
        <w:widowControl/>
        <w:spacing w:after="0" w:line="300" w:lineRule="auto"/>
      </w:pPr>
      <w:r>
        <w:rPr>
          <w:rFonts w:ascii="Calibri" w:hAnsi="Calibri"/>
          <w:b w:val="0"/>
          <w:i/>
          <w:color w:val="5B6573"/>
          <w:sz w:val="22"/>
        </w:rPr>
        <w:t>Versão 2.0 — 2 de agosto de 2026. Material educativo; não constitui parecer jurídico, autorização administrativa, homologação ou credencial FNRH.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573"/>
        <w:sz w:val="17"/>
      </w:rPr>
      <w:t xml:space="preserve">Material educativo — não substitui autorização ou parecer jurídico   |   </w:t>
    </w:r>
    <w:r>
      <w:rPr>
        <w:rFonts w:ascii="Calibri" w:hAnsi="Calibri"/>
        <w:b w:val="0"/>
        <w:i w:val="0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5B6573"/>
        <w:sz w:val="17"/>
      </w:rPr>
      <w:t xml:space="preserve"> de </w:t>
    </w:r>
    <w:r>
      <w:rPr>
        <w:rFonts w:ascii="Calibri" w:hAnsi="Calibri"/>
        <w:b w:val="0"/>
        <w:i w:val="0"/>
        <w:color w:val="5B6573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B6573"/>
        <w:sz w:val="17"/>
      </w:rPr>
      <w:t>GUIA SIMPLES | COMO PARTICIPAR DO OBSERVATÓRIO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ov.br/turismo/pt-br/acesso-a-informacao/acoes-e-programas/programas-projetos-acoes-obras-e-atividades/ficha-nacional-de-registro-de-hospedes/modulo-meio-de-hospedagem/meios-de-hospedagem-com-pms" TargetMode="External"/><Relationship Id="rId12" Type="http://schemas.openxmlformats.org/officeDocument/2006/relationships/hyperlink" Target="https://www.gov.br/turismo/pt-br/acesso-a-informacao/acoes-e-programas/programas-projetos-acoes-obras-e-atividades/ficha-nacional-de-registro-de-hospedes/modulo-meio-de-hospedagem/meios-de-hospedagem-com-pms/chave_api.pdf" TargetMode="External"/><Relationship Id="rId13" Type="http://schemas.openxmlformats.org/officeDocument/2006/relationships/hyperlink" Target="https://www.gov.br/pt-br/servicos/cadastrar-prestadora-de-servico-turistico" TargetMode="External"/><Relationship Id="rId14" Type="http://schemas.openxmlformats.org/officeDocument/2006/relationships/hyperlink" Target="https://www.gov.br/turismo/pt-br/centrais-de-conteudo-/publicacoes/atos-normativos-2/2025/portaria-mtur-no-25-de-3-de-setembro-de-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participar do Observatório Turístico</dc:title>
  <dc:subject>Guia simples para Prefeitura, pousadas e anfitriões</dc:subject>
  <dc:creator>Observatório Turístico de Cumuruxatiba</dc:creator>
  <cp:keywords>Cumuruxatiba, Prado, observatório turístico, pousada, casa de temporada, hospedagem familiar, sem CNPJ, FNRH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