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Calibri" w:hAnsi="Calibri"/>
          <w:b/>
          <w:i w:val="0"/>
          <w:color w:val="2A7F73"/>
          <w:sz w:val="19"/>
        </w:rPr>
        <w:t>GUIA PRÁTICO PARA HOSPEDAGENS</w:t>
      </w:r>
    </w:p>
    <w:p>
      <w:pPr>
        <w:spacing w:after="120"/>
      </w:pPr>
      <w:r>
        <w:rPr>
          <w:rFonts w:ascii="Calibri" w:hAnsi="Calibri"/>
          <w:b/>
          <w:i w:val="0"/>
          <w:color w:val="17324D"/>
          <w:sz w:val="56"/>
        </w:rPr>
        <w:t>Como gerar a chave da FNRH</w:t>
      </w:r>
    </w:p>
    <w:p>
      <w:pPr>
        <w:spacing w:after="280" w:line="276" w:lineRule="auto"/>
      </w:pPr>
      <w:r>
        <w:rPr>
          <w:rFonts w:ascii="Calibri" w:hAnsi="Calibri"/>
          <w:b w:val="0"/>
          <w:i w:val="0"/>
          <w:color w:val="5B6573"/>
          <w:sz w:val="28"/>
        </w:rPr>
        <w:t>Quando ela é necessária, quem pode gerar e o que muda para uma pessoa física sem CNPJ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7760"/>
      </w:tblGrid>
      <w:tr>
        <w:trPr>
          <w:tblHeader w:val="true"/>
        </w:trPr>
        <w:tc>
          <w:tcPr>
            <w:tcW w:type="dxa" w:w="1600"/>
            <w:tcBorders>
              <w:top w:val="single" w:sz="8" w:color="D7E1EA"/>
              <w:left w:val="single" w:sz="8" w:color="D7E1EA"/>
              <w:bottom w:val="single" w:sz="8" w:color="D7E1EA"/>
              <w:right w:val="single" w:sz="8" w:color="D7E1EA"/>
              <w:insideH w:val="single" w:sz="8" w:color="D7E1EA"/>
              <w:insideV w:val="single" w:sz="8" w:color="D7E1EA"/>
            </w:tcBorders>
            <w:vAlign w:val="center"/>
            <w:shd w:fill="EAF3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E74B5"/>
                <w:sz w:val="20"/>
              </w:rPr>
              <w:t>Para</w:t>
            </w:r>
          </w:p>
        </w:tc>
        <w:tc>
          <w:tcPr>
            <w:tcW w:type="dxa" w:w="7760"/>
            <w:tcBorders>
              <w:top w:val="single" w:sz="8" w:color="D7E1EA"/>
              <w:left w:val="single" w:sz="8" w:color="D7E1EA"/>
              <w:bottom w:val="single" w:sz="8" w:color="D7E1EA"/>
              <w:right w:val="single" w:sz="8" w:color="D7E1EA"/>
              <w:insideH w:val="single" w:sz="8" w:color="D7E1EA"/>
              <w:insideV w:val="single" w:sz="8" w:color="D7E1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Pousadas, casas de temporada, hospedagens familiares e equipe do Observatório</w:t>
            </w:r>
          </w:p>
        </w:tc>
      </w:tr>
      <w:tr>
        <w:trPr/>
        <w:tc>
          <w:tcPr>
            <w:tcW w:type="dxa" w:w="1600"/>
            <w:tcBorders>
              <w:top w:val="single" w:sz="8" w:color="D7E1EA"/>
              <w:left w:val="single" w:sz="8" w:color="D7E1EA"/>
              <w:bottom w:val="single" w:sz="8" w:color="D7E1EA"/>
              <w:right w:val="single" w:sz="8" w:color="D7E1EA"/>
              <w:insideH w:val="single" w:sz="8" w:color="D7E1EA"/>
              <w:insideV w:val="single" w:sz="8" w:color="D7E1EA"/>
            </w:tcBorders>
            <w:vAlign w:val="center"/>
            <w:shd w:fill="EAF3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E74B5"/>
                <w:sz w:val="20"/>
              </w:rPr>
              <w:t>Uso</w:t>
            </w:r>
          </w:p>
        </w:tc>
        <w:tc>
          <w:tcPr>
            <w:tcW w:type="dxa" w:w="7760"/>
            <w:tcBorders>
              <w:top w:val="single" w:sz="8" w:color="D7E1EA"/>
              <w:left w:val="single" w:sz="8" w:color="D7E1EA"/>
              <w:bottom w:val="single" w:sz="8" w:color="D7E1EA"/>
              <w:right w:val="single" w:sz="8" w:color="D7E1EA"/>
              <w:insideH w:val="single" w:sz="8" w:color="D7E1EA"/>
              <w:insideV w:val="single" w:sz="8" w:color="D7E1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Leitura fácil, reunião, impressão e compartilhamento por PDF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shd w:fill="EAF5F1"/>
            <w:tcBorders>
              <w:top w:val="single" w:sz="10" w:color="2A7F73"/>
              <w:left w:val="single" w:sz="10" w:color="2A7F73"/>
              <w:bottom w:val="single" w:sz="10" w:color="2A7F73"/>
              <w:right w:val="single" w:sz="10" w:color="2A7F73"/>
              <w:insideH w:val="single" w:sz="10" w:color="2A7F73"/>
              <w:insideV w:val="single" w:sz="10" w:color="2A7F7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i w:val="0"/>
                <w:color w:val="2A7F73"/>
                <w:sz w:val="22"/>
              </w:rPr>
              <w:t>ANTES DE TUDO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21"/>
              </w:rPr>
              <w:t>Você não precisa de chave FNRH para participar do Observatório local. A chave pertence a um caminho federal separado, usado somente quando a hospedagem está enquadrada e autorizada.</w:t>
            </w:r>
          </w:p>
        </w:tc>
      </w:tr>
    </w:tbl>
    <w:p>
      <w:pPr>
        <w:spacing w:after="60"/>
      </w:pPr>
    </w:p>
    <w:p>
      <w:pPr>
        <w:pStyle w:val="Heading1"/>
        <w:keepNext/>
        <w:keepLines/>
        <w:widowControl/>
      </w:pPr>
      <w:r>
        <w:rPr>
          <w:rFonts w:ascii="Calibri" w:hAnsi="Calibri"/>
          <w:b/>
          <w:i w:val="0"/>
          <w:color w:val="2E74B5"/>
          <w:sz w:val="32"/>
        </w:rPr>
        <w:t>Resposta curta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O Observatório não pode emitir a chave oficial.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O responsável ou supervisor gera a chave no portal federal da FNRH.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Cada estabelecimento possui sua própria chave; nunca existe uma chave comunitária.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Uma pessoa física sem CNPJ pode usar o Observatório local, mas CPF sozinho não libera a chave no caminho geral da FNRH.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A chave nunca deve ser enviada por WhatsApp, e-mail, planilha ou documento.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i w:val="0"/>
          <w:color w:val="2A7F73"/>
          <w:sz w:val="18"/>
        </w:rPr>
        <w:t>PARTE 1</w:t>
      </w:r>
    </w:p>
    <w:p>
      <w:pPr>
        <w:keepNext/>
        <w:keepLines/>
        <w:widowControl/>
        <w:spacing w:after="80"/>
      </w:pPr>
      <w:r>
        <w:rPr>
          <w:rFonts w:ascii="Calibri" w:hAnsi="Calibri"/>
          <w:b/>
          <w:i w:val="0"/>
          <w:color w:val="17324D"/>
          <w:sz w:val="44"/>
        </w:rPr>
        <w:t>Primeiro escolha o caminho correto</w:t>
      </w:r>
    </w:p>
    <w:p>
      <w:pPr>
        <w:keepNext w:val="0"/>
        <w:keepLines/>
        <w:widowControl/>
        <w:spacing w:after="280"/>
      </w:pPr>
      <w:r>
        <w:rPr>
          <w:rFonts w:ascii="Calibri" w:hAnsi="Calibri"/>
          <w:b w:val="0"/>
          <w:i w:val="0"/>
          <w:color w:val="5B6573"/>
          <w:sz w:val="23"/>
        </w:rPr>
        <w:t>Esta decisão evita excluir pessoas e evita pedir uma chave de quem não precisa dela.</w:t>
      </w:r>
    </w:p>
    <w:p>
      <w:pPr>
        <w:pStyle w:val="Heading2"/>
        <w:keepNext/>
        <w:keepLines/>
        <w:widowControl/>
      </w:pPr>
      <w:r>
        <w:rPr>
          <w:rFonts w:ascii="Calibri" w:hAnsi="Calibri"/>
          <w:b/>
          <w:i w:val="0"/>
          <w:color w:val="2E74B5"/>
          <w:sz w:val="26"/>
        </w:rPr>
        <w:t>1. Quero participar do Observatório local</w:t>
      </w:r>
    </w:p>
    <w:p>
      <w:pPr>
        <w:keepNext w:val="0"/>
        <w:keepLines/>
        <w:widowControl/>
        <w:spacing w:after="12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Cadastre o local com nome de uso, tipo e capacidade. Não informe CNPJ, CPF, Cadastur ou chave. Este é o caminho para pousadas, casas de temporada e hospedagens familiares.</w:t>
      </w:r>
    </w:p>
    <w:p>
      <w:pPr>
        <w:pStyle w:val="Heading2"/>
        <w:keepNext/>
        <w:keepLines/>
        <w:widowControl/>
      </w:pPr>
      <w:r>
        <w:rPr>
          <w:rFonts w:ascii="Calibri" w:hAnsi="Calibri"/>
          <w:b/>
          <w:i w:val="0"/>
          <w:color w:val="2E74B5"/>
          <w:sz w:val="26"/>
        </w:rPr>
        <w:t>2. Também preciso cumprir a FNRH</w:t>
      </w:r>
    </w:p>
    <w:p>
      <w:pPr>
        <w:keepNext w:val="0"/>
        <w:keepLines/>
        <w:widowControl/>
        <w:spacing w:after="12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Confirme o enquadramento e a regularidade do estabelecimento no canal oficial. A categoria escolhida no Observatório não decide essa obrigação.</w:t>
      </w:r>
    </w:p>
    <w:p>
      <w:pPr>
        <w:pStyle w:val="Heading2"/>
        <w:keepNext/>
        <w:keepLines/>
        <w:widowControl/>
      </w:pPr>
      <w:r>
        <w:rPr>
          <w:rFonts w:ascii="Calibri" w:hAnsi="Calibri"/>
          <w:b/>
          <w:i w:val="0"/>
          <w:color w:val="2E74B5"/>
          <w:sz w:val="26"/>
        </w:rPr>
        <w:t>3. Estou habilitado no portal federal</w:t>
      </w:r>
    </w:p>
    <w:p>
      <w:pPr>
        <w:keepNext w:val="0"/>
        <w:keepLines/>
        <w:widowControl/>
        <w:spacing w:after="12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O responsável ou supervisor da hospedagem acessa a FNRH e gera a chave própria do estabelecimento.</w:t>
      </w:r>
    </w:p>
    <w:p>
      <w:pPr>
        <w:pStyle w:val="Heading2"/>
        <w:keepNext/>
        <w:keepLines/>
        <w:widowControl/>
      </w:pPr>
      <w:r>
        <w:rPr>
          <w:rFonts w:ascii="Calibri" w:hAnsi="Calibri"/>
          <w:b/>
          <w:i w:val="0"/>
          <w:color w:val="2E74B5"/>
          <w:sz w:val="26"/>
        </w:rPr>
        <w:t>4. Quero ligar a chave ao Observatório</w:t>
      </w:r>
    </w:p>
    <w:p>
      <w:pPr>
        <w:keepNext w:val="0"/>
        <w:keepLines/>
        <w:widowControl/>
        <w:spacing w:after="12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Ainda não faça isso. O projeto permanece bloqueado para integração real. No futuro, a configuração ocorrerá em uma tela segura, depois de autorização e homologação.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shd w:fill="FCECEC"/>
            <w:tcBorders>
              <w:top w:val="single" w:sz="10" w:color="9B1C1C"/>
              <w:left w:val="single" w:sz="10" w:color="9B1C1C"/>
              <w:bottom w:val="single" w:sz="10" w:color="9B1C1C"/>
              <w:right w:val="single" w:sz="10" w:color="9B1C1C"/>
              <w:insideH w:val="single" w:sz="10" w:color="9B1C1C"/>
              <w:insideV w:val="single" w:sz="10" w:color="9B1C1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i w:val="0"/>
                <w:color w:val="9B1C1C"/>
                <w:sz w:val="22"/>
              </w:rPr>
              <w:t>NÃO INVENTE UMA CHAVE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21"/>
              </w:rPr>
              <w:t>Um código criado pelo Observatório não vira chave FNRH. Somente o portal federal emite a credencial oficial.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after="40"/>
      </w:pPr>
      <w:r>
        <w:rPr>
          <w:rFonts w:ascii="Calibri" w:hAnsi="Calibri"/>
          <w:b/>
          <w:i w:val="0"/>
          <w:color w:val="2A7F73"/>
          <w:sz w:val="18"/>
        </w:rPr>
        <w:t>PARTE 2</w:t>
      </w:r>
    </w:p>
    <w:p>
      <w:pPr>
        <w:keepNext/>
        <w:keepLines/>
        <w:widowControl/>
        <w:spacing w:after="80"/>
      </w:pPr>
      <w:r>
        <w:rPr>
          <w:rFonts w:ascii="Calibri" w:hAnsi="Calibri"/>
          <w:b/>
          <w:i w:val="0"/>
          <w:color w:val="17324D"/>
          <w:sz w:val="44"/>
        </w:rPr>
        <w:t>Antes de abrir o portal</w:t>
      </w:r>
    </w:p>
    <w:p>
      <w:pPr>
        <w:keepNext w:val="0"/>
        <w:keepLines/>
        <w:widowControl/>
        <w:spacing w:after="280"/>
      </w:pPr>
      <w:r>
        <w:rPr>
          <w:rFonts w:ascii="Calibri" w:hAnsi="Calibri"/>
          <w:b w:val="0"/>
          <w:i w:val="0"/>
          <w:color w:val="5B6573"/>
          <w:sz w:val="23"/>
        </w:rPr>
        <w:t>Se os requisitos oficiais não estiverem resolvidos, a opção de gerar a chave pode não aparecer.</w:t>
      </w:r>
    </w:p>
    <w:p>
      <w:pPr>
        <w:pStyle w:val="Heading1"/>
        <w:keepNext/>
        <w:keepLines/>
        <w:widowControl/>
      </w:pPr>
      <w:r>
        <w:rPr>
          <w:rFonts w:ascii="Calibri" w:hAnsi="Calibri"/>
          <w:b/>
          <w:i w:val="0"/>
          <w:color w:val="2E74B5"/>
          <w:sz w:val="32"/>
        </w:rPr>
        <w:t>Para uma pousada ou meio de hospedagem formal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Confirme a situação do estabelecimento no Cadastur.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Confirme quem está vinculado como responsável ou supervisor.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Teste a conta gov.br dessa pessoa em computador confiável.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Confirme que o nome mostrado no portal pertence exatamente à hospedagem correta.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Defina qual sistema autorizado receberá a credencial.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shd w:fill="EAF3F8"/>
            <w:tcBorders>
              <w:top w:val="single" w:sz="10" w:color="2E74B5"/>
              <w:left w:val="single" w:sz="10" w:color="2E74B5"/>
              <w:bottom w:val="single" w:sz="10" w:color="2E74B5"/>
              <w:right w:val="single" w:sz="10" w:color="2E74B5"/>
              <w:insideH w:val="single" w:sz="10" w:color="2E74B5"/>
              <w:insideV w:val="single" w:sz="10" w:color="2E74B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i w:val="0"/>
                <w:color w:val="2E74B5"/>
                <w:sz w:val="22"/>
              </w:rPr>
              <w:t>CPF DO RESPONSÁVEL NÃO É CADASTRO POR CPF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21"/>
              </w:rPr>
              <w:t>O CPF identifica a pessoa autorizada a agir pelo estabelecimento. No caminho geral, ele não substitui a regularidade do meio de hospedagem nem libera uma chave isoladamente.</w:t>
            </w:r>
          </w:p>
        </w:tc>
      </w:tr>
    </w:tbl>
    <w:p>
      <w:pPr>
        <w:spacing w:after="60"/>
      </w:pPr>
    </w:p>
    <w:p>
      <w:pPr>
        <w:pStyle w:val="Heading1"/>
        <w:keepNext/>
        <w:keepLines/>
        <w:widowControl/>
      </w:pPr>
      <w:r>
        <w:rPr>
          <w:rFonts w:ascii="Calibri" w:hAnsi="Calibri"/>
          <w:b/>
          <w:i w:val="0"/>
          <w:color w:val="2E74B5"/>
          <w:sz w:val="32"/>
        </w:rPr>
        <w:t>Se a hospedagem não aparecer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Não use o cadastro ou a chave de outra pessoa.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Confira o responsável e a situação no Cadastur.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Peça orientação oficial antes de repetir a tentativa.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i w:val="0"/>
          <w:color w:val="2A7F73"/>
          <w:sz w:val="18"/>
        </w:rPr>
        <w:t>PARTE 3</w:t>
      </w:r>
    </w:p>
    <w:p>
      <w:pPr>
        <w:keepNext/>
        <w:keepLines/>
        <w:widowControl/>
        <w:spacing w:after="80"/>
      </w:pPr>
      <w:r>
        <w:rPr>
          <w:rFonts w:ascii="Calibri" w:hAnsi="Calibri"/>
          <w:b/>
          <w:i w:val="0"/>
          <w:color w:val="17324D"/>
          <w:sz w:val="44"/>
        </w:rPr>
        <w:t>Passo a passo oficial</w:t>
      </w:r>
    </w:p>
    <w:p>
      <w:pPr>
        <w:keepNext w:val="0"/>
        <w:keepLines/>
        <w:widowControl/>
        <w:spacing w:after="280"/>
      </w:pPr>
      <w:r>
        <w:rPr>
          <w:rFonts w:ascii="Calibri" w:hAnsi="Calibri"/>
          <w:b w:val="0"/>
          <w:i w:val="0"/>
          <w:color w:val="5B6573"/>
          <w:sz w:val="23"/>
        </w:rPr>
        <w:t>Os nomes da tela seguem o manual do Ministério do Turismo consultado em 2 de agosto de 2026.</w:t>
      </w:r>
    </w:p>
    <w:p>
      <w:pPr>
        <w:pStyle w:val="Heading2"/>
        <w:keepNext/>
        <w:keepLines/>
        <w:widowControl/>
      </w:pPr>
      <w:r>
        <w:rPr>
          <w:rFonts w:ascii="Calibri" w:hAnsi="Calibri"/>
          <w:b/>
          <w:i w:val="0"/>
          <w:color w:val="2E74B5"/>
          <w:sz w:val="26"/>
        </w:rPr>
        <w:t>1. Abra o módulo da hospedagem</w:t>
      </w:r>
    </w:p>
    <w:p>
      <w:pPr>
        <w:keepNext w:val="0"/>
        <w:keepLines/>
        <w:widowControl/>
        <w:spacing w:after="12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Acesse https://fnrh.turismo.serpro.gov.br/FNRH_SRH/Login em um computador confiável.</w:t>
      </w:r>
    </w:p>
    <w:p>
      <w:pPr>
        <w:pStyle w:val="Heading2"/>
        <w:keepNext/>
        <w:keepLines/>
        <w:widowControl/>
      </w:pPr>
      <w:r>
        <w:rPr>
          <w:rFonts w:ascii="Calibri" w:hAnsi="Calibri"/>
          <w:b/>
          <w:i w:val="0"/>
          <w:color w:val="2E74B5"/>
          <w:sz w:val="26"/>
        </w:rPr>
        <w:t>2. Entre com gov.br</w:t>
      </w:r>
    </w:p>
    <w:p>
      <w:pPr>
        <w:keepNext w:val="0"/>
        <w:keepLines/>
        <w:widowControl/>
        <w:spacing w:after="12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Use a conta do responsável ou supervisor vinculado àquela hospedagem. Não use conta emprestada.</w:t>
      </w:r>
    </w:p>
    <w:p>
      <w:pPr>
        <w:pStyle w:val="Heading2"/>
        <w:keepNext/>
        <w:keepLines/>
        <w:widowControl/>
      </w:pPr>
      <w:r>
        <w:rPr>
          <w:rFonts w:ascii="Calibri" w:hAnsi="Calibri"/>
          <w:b/>
          <w:i w:val="0"/>
          <w:color w:val="2E74B5"/>
          <w:sz w:val="26"/>
        </w:rPr>
        <w:t>3. Confirme o estabelecimento</w:t>
      </w:r>
    </w:p>
    <w:p>
      <w:pPr>
        <w:keepNext w:val="0"/>
        <w:keepLines/>
        <w:widowControl/>
        <w:spacing w:after="12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Verifique se o nome e os dados mostrados correspondem exatamente ao local que está sendo configurado.</w:t>
      </w:r>
    </w:p>
    <w:p>
      <w:pPr>
        <w:pStyle w:val="Heading2"/>
        <w:keepNext/>
        <w:keepLines/>
        <w:widowControl/>
      </w:pPr>
      <w:r>
        <w:rPr>
          <w:rFonts w:ascii="Calibri" w:hAnsi="Calibri"/>
          <w:b/>
          <w:i w:val="0"/>
          <w:color w:val="2E74B5"/>
          <w:sz w:val="26"/>
        </w:rPr>
        <w:t>4. Abra ‘Chaves de API’</w:t>
      </w:r>
    </w:p>
    <w:p>
      <w:pPr>
        <w:keepNext w:val="0"/>
        <w:keepLines/>
        <w:widowControl/>
        <w:spacing w:after="12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No menu principal da Plataforma FNRH Digital, selecione a opção ‘Chaves de API’.</w:t>
      </w:r>
    </w:p>
    <w:p>
      <w:pPr>
        <w:pStyle w:val="Heading2"/>
        <w:keepNext/>
        <w:keepLines/>
        <w:widowControl/>
      </w:pPr>
      <w:r>
        <w:rPr>
          <w:rFonts w:ascii="Calibri" w:hAnsi="Calibri"/>
          <w:b/>
          <w:i w:val="0"/>
          <w:color w:val="2E74B5"/>
          <w:sz w:val="26"/>
        </w:rPr>
        <w:t>5. Gere a chave</w:t>
      </w:r>
    </w:p>
    <w:p>
      <w:pPr>
        <w:keepNext w:val="0"/>
        <w:keepLines/>
        <w:widowControl/>
        <w:spacing w:after="12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O sistema oficial gera a credencial e a mostra na tela. Não fotografe, não imprima e não cole em documentos.</w:t>
      </w:r>
    </w:p>
    <w:p>
      <w:pPr>
        <w:pStyle w:val="Heading2"/>
        <w:keepNext/>
        <w:keepLines/>
        <w:widowControl/>
      </w:pPr>
      <w:r>
        <w:rPr>
          <w:rFonts w:ascii="Calibri" w:hAnsi="Calibri"/>
          <w:b/>
          <w:i w:val="0"/>
          <w:color w:val="2E74B5"/>
          <w:sz w:val="26"/>
        </w:rPr>
        <w:t>6. Configure o sistema por canal seguro</w:t>
      </w:r>
    </w:p>
    <w:p>
      <w:pPr>
        <w:keepNext w:val="0"/>
        <w:keepLines/>
        <w:widowControl/>
        <w:spacing w:after="12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A própria hospedagem insere a chave diretamente na tela segura do sistema autorizado, quando esse fluxo estiver oficialmente aprovado.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shd w:fill="FBF4DF"/>
            <w:tcBorders>
              <w:top w:val="single" w:sz="10" w:color="7A5A00"/>
              <w:left w:val="single" w:sz="10" w:color="7A5A00"/>
              <w:bottom w:val="single" w:sz="10" w:color="7A5A00"/>
              <w:right w:val="single" w:sz="10" w:color="7A5A00"/>
              <w:insideH w:val="single" w:sz="10" w:color="7A5A00"/>
              <w:insideV w:val="single" w:sz="10" w:color="7A5A0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i w:val="0"/>
                <w:color w:val="7A5A00"/>
                <w:sz w:val="22"/>
              </w:rPr>
              <w:t>PARA SUBSTITUIR UMA CHAVE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21"/>
              </w:rPr>
              <w:t>Volte a ‘Chaves de API’ e gere uma nova. A anterior é invalidada e o sistema autorizado precisa ser atualizado.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after="40"/>
      </w:pPr>
      <w:r>
        <w:rPr>
          <w:rFonts w:ascii="Calibri" w:hAnsi="Calibri"/>
          <w:b/>
          <w:i w:val="0"/>
          <w:color w:val="2A7F73"/>
          <w:sz w:val="18"/>
        </w:rPr>
        <w:t>PARTE 4</w:t>
      </w:r>
    </w:p>
    <w:p>
      <w:pPr>
        <w:keepNext/>
        <w:keepLines/>
        <w:widowControl/>
        <w:spacing w:after="80"/>
      </w:pPr>
      <w:r>
        <w:rPr>
          <w:rFonts w:ascii="Calibri" w:hAnsi="Calibri"/>
          <w:b/>
          <w:i w:val="0"/>
          <w:color w:val="17324D"/>
          <w:sz w:val="44"/>
        </w:rPr>
        <w:t>O Observatório consegue fazer isso?</w:t>
      </w:r>
    </w:p>
    <w:p>
      <w:pPr>
        <w:keepNext w:val="0"/>
        <w:keepLines/>
        <w:widowControl/>
        <w:spacing w:after="280"/>
      </w:pPr>
      <w:r>
        <w:rPr>
          <w:rFonts w:ascii="Calibri" w:hAnsi="Calibri"/>
          <w:b w:val="0"/>
          <w:i w:val="0"/>
          <w:color w:val="5B6573"/>
          <w:sz w:val="23"/>
        </w:rPr>
        <w:t>Consegue facilitar o processo, mas não consegue emitir a credencial federal.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shd w:fill="FCECEC"/>
            <w:tcBorders>
              <w:top w:val="single" w:sz="10" w:color="9B1C1C"/>
              <w:left w:val="single" w:sz="10" w:color="9B1C1C"/>
              <w:bottom w:val="single" w:sz="10" w:color="9B1C1C"/>
              <w:right w:val="single" w:sz="10" w:color="9B1C1C"/>
              <w:insideH w:val="single" w:sz="10" w:color="9B1C1C"/>
              <w:insideV w:val="single" w:sz="10" w:color="9B1C1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i w:val="0"/>
                <w:color w:val="9B1C1C"/>
                <w:sz w:val="22"/>
              </w:rPr>
              <w:t>HOJE: AINDA NÃO RECEBE CHAVE REAL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21"/>
              </w:rPr>
              <w:t>O Cumuru continua como protótipo e os gates externos da FNRH estão bloqueados. Não coloque uma chave real no sistema atual.</w:t>
            </w:r>
          </w:p>
        </w:tc>
      </w:tr>
    </w:tbl>
    <w:p>
      <w:pPr>
        <w:spacing w:after="60"/>
      </w:pPr>
    </w:p>
    <w:p>
      <w:pPr>
        <w:pStyle w:val="Heading1"/>
        <w:keepNext/>
        <w:keepLines/>
        <w:widowControl/>
      </w:pPr>
      <w:r>
        <w:rPr>
          <w:rFonts w:ascii="Calibri" w:hAnsi="Calibri"/>
          <w:b/>
          <w:i w:val="0"/>
          <w:color w:val="2E74B5"/>
          <w:sz w:val="32"/>
        </w:rPr>
        <w:t>O que o Observatório poderá oferecer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Um assistente que explica os pré-requisitos e abre o portal oficial.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Uma tela segura para o responsável inserir a chave uma única vez.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Armazenamento cifrado e separado por hospedagem.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Exibição apenas do estado da integração e da data de substituição; nunca da chave completa.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Teste de conexão, rotação e logs sem dados pessoais ou segredos.</w:t>
      </w:r>
    </w:p>
    <w:p>
      <w:pPr>
        <w:pStyle w:val="Heading1"/>
        <w:keepNext/>
        <w:keepLines/>
        <w:widowControl/>
      </w:pPr>
      <w:r>
        <w:rPr>
          <w:rFonts w:ascii="Calibri" w:hAnsi="Calibri"/>
          <w:b/>
          <w:i w:val="0"/>
          <w:color w:val="2E74B5"/>
          <w:sz w:val="32"/>
        </w:rPr>
        <w:t>O que nunca deve fazer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Pedir ou guardar senha gov.br.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Gerar um token próprio e chamá-lo de chave FNRH.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Usar uma chave para várias pousadas ou casas.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Receber chave por conversa, chamado, planilha ou documento.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i w:val="0"/>
          <w:color w:val="2A7F73"/>
          <w:sz w:val="18"/>
        </w:rPr>
        <w:t>PARTE 5</w:t>
      </w:r>
    </w:p>
    <w:p>
      <w:pPr>
        <w:keepNext/>
        <w:keepLines/>
        <w:widowControl/>
        <w:spacing w:after="80"/>
      </w:pPr>
      <w:r>
        <w:rPr>
          <w:rFonts w:ascii="Calibri" w:hAnsi="Calibri"/>
          <w:b/>
          <w:i w:val="0"/>
          <w:color w:val="17324D"/>
          <w:sz w:val="44"/>
        </w:rPr>
        <w:t>E a pessoa física sem CNPJ?</w:t>
      </w:r>
    </w:p>
    <w:p>
      <w:pPr>
        <w:keepNext w:val="0"/>
        <w:keepLines/>
        <w:widowControl/>
        <w:spacing w:after="280"/>
      </w:pPr>
      <w:r>
        <w:rPr>
          <w:rFonts w:ascii="Calibri" w:hAnsi="Calibri"/>
          <w:b w:val="0"/>
          <w:i w:val="0"/>
          <w:color w:val="5B6573"/>
          <w:sz w:val="23"/>
        </w:rPr>
        <w:t>Ela participa do Observatório local. Para a FNRH, a resposta depende do enquadramento oficial.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shd w:fill="EAF5F1"/>
            <w:tcBorders>
              <w:top w:val="single" w:sz="10" w:color="2A7F73"/>
              <w:left w:val="single" w:sz="10" w:color="2A7F73"/>
              <w:bottom w:val="single" w:sz="10" w:color="2A7F73"/>
              <w:right w:val="single" w:sz="10" w:color="2A7F73"/>
              <w:insideH w:val="single" w:sz="10" w:color="2A7F73"/>
              <w:insideV w:val="single" w:sz="10" w:color="2A7F7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i w:val="0"/>
                <w:color w:val="2A7F73"/>
                <w:sz w:val="22"/>
              </w:rPr>
              <w:t>RESPOSTA DIRETA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21"/>
              </w:rPr>
              <w:t>Uma pessoa que aluga uma casa usando somente CPF não precisa de chave para usar o Observatório local. CPF sozinho também não libera a chave FNRH pelo caminho geral.</w:t>
            </w:r>
          </w:p>
        </w:tc>
      </w:tr>
    </w:tbl>
    <w:p>
      <w:pPr>
        <w:spacing w:after="60"/>
      </w:pPr>
    </w:p>
    <w:p>
      <w:pPr>
        <w:pStyle w:val="Heading2"/>
        <w:keepNext/>
        <w:keepLines/>
        <w:widowControl/>
      </w:pPr>
      <w:r>
        <w:rPr>
          <w:rFonts w:ascii="Calibri" w:hAnsi="Calibri"/>
          <w:b/>
          <w:i w:val="0"/>
          <w:color w:val="2E74B5"/>
          <w:sz w:val="26"/>
        </w:rPr>
        <w:t>Caso 1 — casa de temporada sem CNPJ</w:t>
      </w:r>
    </w:p>
    <w:p>
      <w:pPr>
        <w:keepNext w:val="0"/>
        <w:keepLines/>
        <w:widowControl/>
        <w:spacing w:after="12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Pode cadastrar o local no Observatório como ‘Casa ou imóvel de temporada’. Não deve inventar CNPJ, usar a chave de uma pousada ou prometer integração FNRH.</w:t>
      </w:r>
    </w:p>
    <w:p>
      <w:pPr>
        <w:pStyle w:val="Heading2"/>
        <w:keepNext/>
        <w:keepLines/>
        <w:widowControl/>
      </w:pPr>
      <w:r>
        <w:rPr>
          <w:rFonts w:ascii="Calibri" w:hAnsi="Calibri"/>
          <w:b/>
          <w:i w:val="0"/>
          <w:color w:val="2E74B5"/>
          <w:sz w:val="26"/>
        </w:rPr>
        <w:t>Caso 2 — meio de hospedagem formal</w:t>
      </w:r>
    </w:p>
    <w:p>
      <w:pPr>
        <w:keepNext w:val="0"/>
        <w:keepLines/>
        <w:widowControl/>
        <w:spacing w:after="12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Se o estabelecimento cumprir os requisitos oficiais e tiver responsável habilitado, essa pessoa poderá gerar a chave própria no portal federal.</w:t>
      </w:r>
    </w:p>
    <w:p>
      <w:pPr>
        <w:pStyle w:val="Heading2"/>
        <w:keepNext/>
        <w:keepLines/>
        <w:widowControl/>
      </w:pPr>
      <w:r>
        <w:rPr>
          <w:rFonts w:ascii="Calibri" w:hAnsi="Calibri"/>
          <w:b/>
          <w:i w:val="0"/>
          <w:color w:val="2E74B5"/>
          <w:sz w:val="26"/>
        </w:rPr>
        <w:t>Caso 3 — produtor rural ou agricultor familiar</w:t>
      </w:r>
    </w:p>
    <w:p>
      <w:pPr>
        <w:keepNext w:val="0"/>
        <w:keepLines/>
        <w:widowControl/>
        <w:spacing w:after="12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Existe uma hipótese específica de cadastro como pessoa física com CPF e CAEPF, além dos demais requisitos. Ela não se aplica automaticamente a qualquer casa de praia ou aluguel por temporada.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shd w:fill="FBF4DF"/>
            <w:tcBorders>
              <w:top w:val="single" w:sz="10" w:color="7A5A00"/>
              <w:left w:val="single" w:sz="10" w:color="7A5A00"/>
              <w:bottom w:val="single" w:sz="10" w:color="7A5A00"/>
              <w:right w:val="single" w:sz="10" w:color="7A5A00"/>
              <w:insideH w:val="single" w:sz="10" w:color="7A5A00"/>
              <w:insideV w:val="single" w:sz="10" w:color="7A5A0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i w:val="0"/>
                <w:color w:val="7A5A00"/>
                <w:sz w:val="22"/>
              </w:rPr>
              <w:t>AIRBNB, BOOKING OU WHATSAPP SÃO CANAIS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21"/>
              </w:rPr>
              <w:t>O canal usado para receber reservas não decide sozinho se o imóvel é um meio de hospedagem. Peça orientação oficial para o estabelecimento concreto.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after="40"/>
      </w:pPr>
      <w:r>
        <w:rPr>
          <w:rFonts w:ascii="Calibri" w:hAnsi="Calibri"/>
          <w:b/>
          <w:i w:val="0"/>
          <w:color w:val="2A7F73"/>
          <w:sz w:val="18"/>
        </w:rPr>
        <w:t>PARTE 6</w:t>
      </w:r>
    </w:p>
    <w:p>
      <w:pPr>
        <w:keepNext/>
        <w:keepLines/>
        <w:widowControl/>
        <w:spacing w:after="80"/>
      </w:pPr>
      <w:r>
        <w:rPr>
          <w:rFonts w:ascii="Calibri" w:hAnsi="Calibri"/>
          <w:b/>
          <w:i w:val="0"/>
          <w:color w:val="17324D"/>
          <w:sz w:val="44"/>
        </w:rPr>
        <w:t>Segurança, fontes e próxima ação</w:t>
      </w:r>
    </w:p>
    <w:p>
      <w:pPr>
        <w:keepNext w:val="0"/>
        <w:keepLines/>
        <w:widowControl/>
        <w:spacing w:after="280"/>
      </w:pPr>
      <w:r>
        <w:rPr>
          <w:rFonts w:ascii="Calibri" w:hAnsi="Calibri"/>
          <w:b w:val="0"/>
          <w:i w:val="0"/>
          <w:color w:val="5B6573"/>
          <w:sz w:val="23"/>
        </w:rPr>
        <w:t>A hospedagem continua responsável pela guarda e pelo uso da sua credencial.</w:t>
      </w:r>
    </w:p>
    <w:p>
      <w:pPr>
        <w:pStyle w:val="Heading1"/>
        <w:keepNext/>
        <w:keepLines/>
        <w:widowControl/>
      </w:pPr>
      <w:r>
        <w:rPr>
          <w:rFonts w:ascii="Calibri" w:hAnsi="Calibri"/>
          <w:b/>
          <w:i w:val="0"/>
          <w:color w:val="2E74B5"/>
          <w:sz w:val="32"/>
        </w:rPr>
        <w:t>Se houver suspeita de vazamento</w:t>
      </w:r>
    </w:p>
    <w:p>
      <w:pPr>
        <w:keepNext w:val="0"/>
        <w:keepLines/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Gerar nova chave no portal oficial.</w:t>
      </w:r>
    </w:p>
    <w:p>
      <w:pPr>
        <w:keepNext w:val="0"/>
        <w:keepLines/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Atualizar o sistema autorizado.</w:t>
      </w:r>
    </w:p>
    <w:p>
      <w:pPr>
        <w:keepNext w:val="0"/>
        <w:keepLines/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Confirmar que a chave anterior deixou de funcionar.</w:t>
      </w:r>
    </w:p>
    <w:p>
      <w:pPr>
        <w:keepNext w:val="0"/>
        <w:keepLines/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Registrar o incidente sem copiar ou reproduzir a credencial.</w:t>
      </w:r>
    </w:p>
    <w:p>
      <w:pPr>
        <w:spacing w:after="100" w:line="276" w:lineRule="auto"/>
      </w:pPr>
      <w:hyperlink r:id="rId11">
        <w:r>
          <w:rPr>
            <w:rFonts w:ascii="Calibri" w:hAnsi="Calibri"/>
            <w:color w:val="2E74B5"/>
            <w:u w:val="single"/>
            <w:sz w:val="20"/>
          </w:rPr>
          <w:t>Passo a passo oficial para gerar a chave</w:t>
        </w:r>
      </w:hyperlink>
      <w:r>
        <w:rPr>
          <w:rFonts w:ascii="Calibri" w:hAnsi="Calibri"/>
          <w:b w:val="0"/>
          <w:i w:val="0"/>
          <w:color w:val="5B6573"/>
          <w:sz w:val="20"/>
        </w:rPr>
        <w:t xml:space="preserve"> — manual oficial do Ministério do Turismo</w:t>
      </w:r>
    </w:p>
    <w:p>
      <w:pPr>
        <w:spacing w:after="100" w:line="276" w:lineRule="auto"/>
      </w:pPr>
      <w:hyperlink r:id="rId12">
        <w:r>
          <w:rPr>
            <w:rFonts w:ascii="Calibri" w:hAnsi="Calibri"/>
            <w:color w:val="2E74B5"/>
            <w:u w:val="single"/>
            <w:sz w:val="20"/>
          </w:rPr>
          <w:t>Meios de Hospedagem com PMS</w:t>
        </w:r>
      </w:hyperlink>
      <w:r>
        <w:rPr>
          <w:rFonts w:ascii="Calibri" w:hAnsi="Calibri"/>
          <w:b w:val="0"/>
          <w:i w:val="0"/>
          <w:color w:val="5B6573"/>
          <w:sz w:val="20"/>
        </w:rPr>
        <w:t xml:space="preserve"> — orientação sobre chave própria por estabelecimento e documentação da integração</w:t>
      </w:r>
    </w:p>
    <w:p>
      <w:pPr>
        <w:spacing w:after="100" w:line="276" w:lineRule="auto"/>
      </w:pPr>
      <w:hyperlink r:id="rId13">
        <w:r>
          <w:rPr>
            <w:rFonts w:ascii="Calibri" w:hAnsi="Calibri"/>
            <w:color w:val="2E74B5"/>
            <w:u w:val="single"/>
            <w:sz w:val="20"/>
          </w:rPr>
          <w:t>Serviço oficial do Cadastur</w:t>
        </w:r>
      </w:hyperlink>
      <w:r>
        <w:rPr>
          <w:rFonts w:ascii="Calibri" w:hAnsi="Calibri"/>
          <w:b w:val="0"/>
          <w:i w:val="0"/>
          <w:color w:val="5B6573"/>
          <w:sz w:val="20"/>
        </w:rPr>
        <w:t xml:space="preserve"> — requisitos gerais para prestadores de serviço turístico</w:t>
      </w:r>
    </w:p>
    <w:p>
      <w:pPr>
        <w:spacing w:after="100" w:line="276" w:lineRule="auto"/>
      </w:pPr>
      <w:hyperlink r:id="rId14">
        <w:r>
          <w:rPr>
            <w:rFonts w:ascii="Calibri" w:hAnsi="Calibri"/>
            <w:color w:val="2E74B5"/>
            <w:u w:val="single"/>
            <w:sz w:val="20"/>
          </w:rPr>
          <w:t>Portaria MTur nº 25/2025</w:t>
        </w:r>
      </w:hyperlink>
      <w:r>
        <w:rPr>
          <w:rFonts w:ascii="Calibri" w:hAnsi="Calibri"/>
          <w:b w:val="0"/>
          <w:i w:val="0"/>
          <w:color w:val="5B6573"/>
          <w:sz w:val="20"/>
        </w:rPr>
        <w:t xml:space="preserve"> — hipótese específica de pessoa física rural com CPF e CAEPF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shd w:fill="EAF5F1"/>
            <w:tcBorders>
              <w:top w:val="single" w:sz="10" w:color="2A7F73"/>
              <w:left w:val="single" w:sz="10" w:color="2A7F73"/>
              <w:bottom w:val="single" w:sz="10" w:color="2A7F73"/>
              <w:right w:val="single" w:sz="10" w:color="2A7F73"/>
              <w:insideH w:val="single" w:sz="10" w:color="2A7F73"/>
              <w:insideV w:val="single" w:sz="10" w:color="2A7F7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i w:val="0"/>
                <w:color w:val="2A7F73"/>
                <w:sz w:val="22"/>
              </w:rPr>
              <w:t>PRÓXIMA AÇÃO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21"/>
              </w:rPr>
              <w:t>Se você quer apenas participar do Observatório, faça o cadastro local sem chave. Se precisa da FNRH, confirme primeiro o enquadramento e o responsável no canal oficial; só depois siga o manual federal.</w:t>
            </w:r>
          </w:p>
        </w:tc>
      </w:tr>
    </w:tbl>
    <w:p>
      <w:pPr>
        <w:spacing w:after="60"/>
      </w:pPr>
    </w:p>
    <w:p>
      <w:pPr>
        <w:keepNext w:val="0"/>
        <w:keepLines/>
        <w:widowControl/>
        <w:spacing w:after="0" w:line="300" w:lineRule="auto"/>
      </w:pPr>
      <w:r>
        <w:rPr>
          <w:rFonts w:ascii="Calibri" w:hAnsi="Calibri"/>
          <w:b w:val="0"/>
          <w:i/>
          <w:color w:val="5B6573"/>
          <w:sz w:val="22"/>
        </w:rPr>
        <w:t>Versão 2.0 — 2 de agosto de 2026. Material educativo; não constitui parecer jurídico, aprovação do Cadastur, homologação ou credencial FNRH.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B6573"/>
        <w:sz w:val="17"/>
      </w:rPr>
      <w:t xml:space="preserve">Material educativo — não substitui autorização ou parecer jurídico   |   </w:t>
    </w:r>
    <w:r>
      <w:rPr>
        <w:rFonts w:ascii="Calibri" w:hAnsi="Calibri"/>
        <w:b w:val="0"/>
        <w:i w:val="0"/>
        <w:color w:val="5B6573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b w:val="0"/>
        <w:i w:val="0"/>
        <w:color w:val="5B6573"/>
        <w:sz w:val="17"/>
      </w:rPr>
      <w:t xml:space="preserve"> de </w:t>
    </w:r>
    <w:r>
      <w:rPr>
        <w:rFonts w:ascii="Calibri" w:hAnsi="Calibri"/>
        <w:b w:val="0"/>
        <w:i w:val="0"/>
        <w:color w:val="5B6573"/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i w:val="0"/>
        <w:color w:val="5B6573"/>
        <w:sz w:val="17"/>
      </w:rPr>
      <w:t>GUIA SIMPLES | CHAVE FNRH PARA HOSPEDAGENS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gov.br/turismo/pt-br/acesso-a-informacao/acoes-e-programas/programas-projetos-acoes-obras-e-atividades/ficha-nacional-de-registro-de-hospedes/modulo-meio-de-hospedagem/meios-de-hospedagem-com-pms/chave_api.pdf" TargetMode="External"/><Relationship Id="rId12" Type="http://schemas.openxmlformats.org/officeDocument/2006/relationships/hyperlink" Target="https://www.gov.br/turismo/pt-br/acesso-a-informacao/acoes-e-programas/programas-projetos-acoes-obras-e-atividades/ficha-nacional-de-registro-de-hospedes/modulo-meio-de-hospedagem/meios-de-hospedagem-com-pms" TargetMode="External"/><Relationship Id="rId13" Type="http://schemas.openxmlformats.org/officeDocument/2006/relationships/hyperlink" Target="https://www.gov.br/pt-br/servicos/cadastrar-prestadora-de-servico-turistico" TargetMode="External"/><Relationship Id="rId14" Type="http://schemas.openxmlformats.org/officeDocument/2006/relationships/hyperlink" Target="https://www.gov.br/turismo/pt-br/centrais-de-conteudo-/publicacoes/atos-normativos-2/2025/portaria-mtur-no-25-de-3-de-setembro-de-20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Como gerar a chave da FNRH para hospedagens</dc:title>
  <dc:subject>Guia simples sobre a chave oficial e o caminho sem CNPJ</dc:subject>
  <dc:creator>Observatório Turístico de Cumuruxatiba</dc:creator>
  <cp:keywords>FNRH, chave de API, Cadastur, pousada, pessoa física, casa de temporada, Cumuruxatiba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