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86.65pt;margin-top:205.2pt;height:110.6pt;width:231.65pt;z-index:251659264;mso-width-relative:page;mso-height-relative:margin;mso-height-percent:200;" filled="f" stroked="f" coordsize="21600,21600" o:gfxdata="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nRuw2QAAAAsBAAAPAAAAAAAAAAEAIAAAACIA&#10;AABkcnMvZG93bnJldi54bWxQSwECFAAUAAAACACHTuJAcMcN2EECAABCBAAADgAAAAAAAAABACAA&#10;AAAoAQAAZHJzL2Uyb0RvYy54bWxQSwUGAAAAAAYABgBZAQAA2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Hlk133256740"/>
      <w:bookmarkEnd w:id="0"/>
    </w:p>
    <w:p/>
    <w:p/>
    <w:p/>
    <w:p/>
    <w:p/>
    <w:p/>
    <w:p/>
    <w:p/>
    <w:p/>
    <w:p/>
    <w:p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Σύνθεση Ομάδας </w:t>
      </w:r>
    </w:p>
    <w:tbl>
      <w:tblPr>
        <w:tblStyle w:val="8"/>
        <w:tblpPr w:leftFromText="180" w:rightFromText="180" w:vertAnchor="page" w:horzAnchor="margin" w:tblpXSpec="center" w:tblpY="2143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up1071112@upnet.gr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Editor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up1070936@upnet.gr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up1067526@upnet.gr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0070C0"/>
              </w:rPr>
              <w:t>up1067370@upnet.gr</w:t>
            </w:r>
            <w:r>
              <w:rPr>
                <w:rStyle w:val="7"/>
                <w:rFonts w:cstheme="minorHAnsi"/>
                <w:color w:val="0070C0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</w:tbl>
    <w:p>
      <w:pPr>
        <w:pStyle w:val="2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Robustness-diagrams-v0.1 – Fuel Pay</w:t>
      </w:r>
    </w:p>
    <w:p>
      <w:pPr>
        <w:rPr>
          <w:lang w:eastAsia="el-GR"/>
        </w:rPr>
      </w:pPr>
    </w:p>
    <w:p>
      <w:pPr>
        <w:pStyle w:val="2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1. Καταχώρηση οχήματος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>
      <w:pPr>
        <w:ind w:left="-567"/>
        <w:rPr>
          <w:rFonts w:ascii="Times New Roman"/>
          <w:sz w:val="11"/>
        </w:rPr>
      </w:pP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«Τροποποίηση Οχήματος».</w:t>
      </w:r>
    </w:p>
    <w:p>
      <w:pPr>
        <w:pStyle w:val="6"/>
        <w:spacing w:before="3"/>
        <w:ind w:left="-567" w:firstLine="0"/>
        <w:rPr>
          <w:rFonts w:ascii="Times New Roman"/>
          <w:sz w:val="11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pStyle w:val="6"/>
        <w:spacing w:before="3"/>
        <w:ind w:left="-567" w:firstLine="0"/>
        <w:jc w:val="center"/>
        <w:rPr>
          <w:rFonts w:ascii="Times New Roman"/>
          <w:sz w:val="11"/>
        </w:rPr>
      </w:pPr>
      <w:r>
        <w:drawing>
          <wp:inline distT="0" distB="0" distL="114300" distR="114300">
            <wp:extent cx="5272405" cy="3376295"/>
            <wp:effectExtent l="0" t="0" r="63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 Επιλογή πρατηρίου και αγορά καυσίμου.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  <w14:textFill>
            <w14:solidFill>
              <w14:schemeClr w14:val="tx1"/>
            </w14:solidFill>
          </w14:textFill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</w:pPr>
    </w:p>
    <w:p>
      <w:pPr>
        <w:ind w:left="-567" w:leftChars="-284" w:hanging="1"/>
        <w:jc w:val="center"/>
      </w:pPr>
      <w:r>
        <w:drawing>
          <wp:inline distT="0" distB="0" distL="114300" distR="114300">
            <wp:extent cx="5926455" cy="3771900"/>
            <wp:effectExtent l="0" t="0" r="1905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-567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pStyle w:val="2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3. Εύρεση πρατηρίου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>
      <w:pPr>
        <w:numPr>
          <w:ilvl w:val="0"/>
          <w:numId w:val="1"/>
        </w:num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07100" cy="4238625"/>
            <wp:effectExtent l="0" t="0" r="12700" b="133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  <w:t>4. Υπολογισμός κόστους γεμίσματος</w:t>
      </w:r>
    </w:p>
    <w:p>
      <w:pPr>
        <w:rPr>
          <w:lang w:val="el-GR" w:eastAsia="en-US" w:bidi="ar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Fuelpay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γέμισμα.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>
      <w:pPr>
        <w:ind w:left="-567"/>
        <w:rPr>
          <w:lang w:val="el-G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hint="default"/>
          <w:lang w:val="el-GR"/>
        </w:rPr>
      </w:pPr>
      <w:r>
        <w:drawing>
          <wp:inline distT="0" distB="0" distL="114300" distR="114300">
            <wp:extent cx="6292850" cy="4191000"/>
            <wp:effectExtent l="0" t="0" r="127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5. Σκανάρισμα προσωποποιημένου QR και ανεφοδιασμός.</w:t>
      </w:r>
    </w:p>
    <w:p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drawing>
          <wp:inline distT="0" distB="0" distL="0" distR="0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3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0" distR="0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10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rPr>
          <w:lang w:bidi="ar"/>
        </w:rPr>
      </w:pPr>
    </w:p>
    <w:p>
      <w:pPr>
        <w:ind w:left="-567"/>
        <w:jc w:val="center"/>
        <w:rPr>
          <w:lang w:bidi="ar"/>
        </w:rPr>
      </w:pPr>
      <w:r>
        <w:rPr>
          <w:lang w:bidi="ar"/>
        </w:rPr>
        <w:drawing>
          <wp:inline distT="0" distB="0" distL="0" distR="0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ind w:left="-567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lang w:val="el-GR"/>
        </w:rPr>
        <w:br w:type="page"/>
      </w:r>
    </w:p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  <w:bookmarkStart w:id="1" w:name="_GoBack"/>
      <w:bookmarkEnd w:id="1"/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ind w:left="-567"/>
        <w:rPr>
          <w:lang w:val="el-GR"/>
        </w:rPr>
      </w:pPr>
    </w:p>
    <w:p>
      <w:pPr>
        <w:rPr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8A3"/>
    <w:rsid w:val="00C86B70"/>
    <w:rsid w:val="207353CB"/>
    <w:rsid w:val="34CA1255"/>
    <w:rsid w:val="4B333C9E"/>
    <w:rsid w:val="4C85609D"/>
    <w:rsid w:val="4DB05759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l-GR" w:eastAsia="en-US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Επικεφαλίδα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0">
    <w:name w:val="List Paragraph"/>
    <w:basedOn w:val="1"/>
    <w:qFormat/>
    <w:uiPriority w:val="1"/>
    <w:pPr>
      <w:widowControl w:val="0"/>
      <w:autoSpaceDE w:val="0"/>
      <w:autoSpaceDN w:val="0"/>
      <w:ind w:left="820" w:hanging="360"/>
    </w:pPr>
    <w:rPr>
      <w:rFonts w:ascii="Carlito" w:hAnsi="Carlito" w:eastAsia="Carlito" w:cs="Carlito"/>
      <w:sz w:val="22"/>
      <w:szCs w:val="22"/>
      <w:lang w:val="el-GR" w:eastAsia="en-US"/>
    </w:rPr>
  </w:style>
  <w:style w:type="character" w:customStyle="1" w:styleId="11">
    <w:name w:val="Επικεφαλίδα 2 Char"/>
    <w:basedOn w:val="4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869</Words>
  <Characters>4698</Characters>
  <Lines>39</Lines>
  <Paragraphs>11</Paragraphs>
  <TotalTime>31</TotalTime>
  <ScaleCrop>false</ScaleCrop>
  <LinksUpToDate>false</LinksUpToDate>
  <CharactersWithSpaces>5556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2023-04-25T09:20:47Z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5F52DA345DBF409FA4971109DF1410E8</vt:lpwstr>
  </property>
</Properties>
</file>