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1B" w:rsidRPr="00061D1B" w:rsidRDefault="00061D1B" w:rsidP="00061D1B">
      <w:pPr>
        <w:jc w:val="center"/>
        <w:rPr>
          <w:sz w:val="36"/>
          <w:szCs w:val="36"/>
          <w:lang w:val="el-GR"/>
        </w:rPr>
      </w:pPr>
      <w:r w:rsidRPr="00061D1B">
        <w:rPr>
          <w:sz w:val="36"/>
          <w:szCs w:val="36"/>
          <w:lang w:val="el-GR"/>
        </w:rPr>
        <w:t>ΕΠΛ425:Εργασία 1</w:t>
      </w:r>
    </w:p>
    <w:p w:rsidR="00061D1B" w:rsidRDefault="00061D1B" w:rsidP="00061D1B">
      <w:pPr>
        <w:tabs>
          <w:tab w:val="center" w:pos="4513"/>
        </w:tabs>
        <w:rPr>
          <w:lang w:val="el-GR"/>
        </w:rPr>
      </w:pPr>
      <w:proofErr w:type="spellStart"/>
      <w:r>
        <w:rPr>
          <w:lang w:val="el-GR"/>
        </w:rPr>
        <w:t>Παντελίτσα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Λεωνίδου</w:t>
      </w:r>
      <w:proofErr w:type="spellEnd"/>
      <w:r>
        <w:rPr>
          <w:lang w:val="el-GR"/>
        </w:rPr>
        <w:t xml:space="preserve"> 915232</w:t>
      </w:r>
    </w:p>
    <w:p w:rsidR="00061D1B" w:rsidRPr="00061D1B" w:rsidRDefault="00061D1B" w:rsidP="00061D1B">
      <w:pPr>
        <w:tabs>
          <w:tab w:val="center" w:pos="4513"/>
        </w:tabs>
        <w:rPr>
          <w:lang w:val="el-GR"/>
        </w:rPr>
      </w:pPr>
      <w:proofErr w:type="spellStart"/>
      <w:r>
        <w:rPr>
          <w:lang w:val="el-GR"/>
        </w:rPr>
        <w:t>Κρίστια</w:t>
      </w:r>
      <w:proofErr w:type="spellEnd"/>
      <w:r>
        <w:rPr>
          <w:lang w:val="el-GR"/>
        </w:rPr>
        <w:t xml:space="preserve"> Χαριλάου </w:t>
      </w:r>
      <w:r w:rsidRPr="00061D1B">
        <w:rPr>
          <w:lang w:val="el-GR"/>
        </w:rPr>
        <w:br w:type="page"/>
      </w:r>
      <w:r w:rsidRPr="00061D1B">
        <w:rPr>
          <w:lang w:val="el-GR"/>
        </w:rPr>
        <w:lastRenderedPageBreak/>
        <w:tab/>
      </w:r>
    </w:p>
    <w:p w:rsidR="006D4201" w:rsidRPr="00061D1B" w:rsidRDefault="006D4201">
      <w:pPr>
        <w:rPr>
          <w:lang w:val="el-G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-167640</wp:posOffset>
            </wp:positionV>
            <wp:extent cx="4305300" cy="221742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6D4201" w:rsidP="006D4201">
      <w:pPr>
        <w:rPr>
          <w:lang w:val="el-GR"/>
        </w:rPr>
      </w:pPr>
    </w:p>
    <w:p w:rsidR="006D4201" w:rsidRPr="00061D1B" w:rsidRDefault="00061D1B" w:rsidP="006D4201">
      <w:pPr>
        <w:rPr>
          <w:lang w:val="el-G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2752A" wp14:editId="54058DD2">
            <wp:simplePos x="0" y="0"/>
            <wp:positionH relativeFrom="column">
              <wp:posOffset>518160</wp:posOffset>
            </wp:positionH>
            <wp:positionV relativeFrom="paragraph">
              <wp:posOffset>1270</wp:posOffset>
            </wp:positionV>
            <wp:extent cx="4343400" cy="233934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201" w:rsidRPr="00061D1B" w:rsidRDefault="006D4201" w:rsidP="006D4201">
      <w:pPr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Pr="00BD1E09" w:rsidRDefault="00BD1E09" w:rsidP="000C73DA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y:/Latency (in milliseconds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X:/Users </w:t>
      </w:r>
    </w:p>
    <w:p w:rsidR="006D4201" w:rsidRDefault="006D4201" w:rsidP="000C73DA">
      <w:pPr>
        <w:tabs>
          <w:tab w:val="left" w:pos="1608"/>
        </w:tabs>
        <w:jc w:val="both"/>
        <w:rPr>
          <w:lang w:val="el-GR"/>
        </w:rPr>
      </w:pPr>
      <w:r>
        <w:rPr>
          <w:lang w:val="el-GR"/>
        </w:rPr>
        <w:t xml:space="preserve">Οι μετρήσεις γίνονται για 5-25 πελάτες οι οποίοι στέλνουν παράλληλα στον εξυπηρετητή 300 </w:t>
      </w:r>
      <w:r>
        <w:rPr>
          <w:lang w:val="en-US"/>
        </w:rPr>
        <w:t>requests</w:t>
      </w:r>
      <w:r w:rsidRPr="006D4201">
        <w:rPr>
          <w:lang w:val="el-GR"/>
        </w:rPr>
        <w:t xml:space="preserve"> </w:t>
      </w:r>
      <w:r>
        <w:rPr>
          <w:lang w:val="el-GR"/>
        </w:rPr>
        <w:t xml:space="preserve">περιμένοντας την απάντηση του.  Το </w:t>
      </w:r>
      <w:r>
        <w:rPr>
          <w:lang w:val="en-US"/>
        </w:rPr>
        <w:t>latency</w:t>
      </w:r>
      <w:r w:rsidRPr="006D4201">
        <w:rPr>
          <w:lang w:val="el-GR"/>
        </w:rPr>
        <w:t xml:space="preserve"> </w:t>
      </w:r>
      <w:r>
        <w:rPr>
          <w:lang w:val="el-GR"/>
        </w:rPr>
        <w:t xml:space="preserve">στην γραφική παρατηρούμε να αυξάνεται και να μειώνεται. Η αυξομείωση που </w:t>
      </w:r>
      <w:r w:rsidR="00744A53">
        <w:rPr>
          <w:lang w:val="el-GR"/>
        </w:rPr>
        <w:t>παρατηρείται</w:t>
      </w:r>
      <w:r w:rsidR="00EB27C9">
        <w:rPr>
          <w:lang w:val="el-GR"/>
        </w:rPr>
        <w:t xml:space="preserve"> επηρεάζεται από 2 παράγοντες</w:t>
      </w:r>
      <w:r>
        <w:rPr>
          <w:lang w:val="el-GR"/>
        </w:rPr>
        <w:t>:</w:t>
      </w:r>
    </w:p>
    <w:p w:rsidR="00E65280" w:rsidRDefault="006D4201" w:rsidP="000C73DA">
      <w:pPr>
        <w:tabs>
          <w:tab w:val="left" w:pos="1608"/>
        </w:tabs>
        <w:jc w:val="both"/>
        <w:rPr>
          <w:lang w:val="el-GR"/>
        </w:rPr>
      </w:pPr>
      <w:r>
        <w:rPr>
          <w:lang w:val="el-GR"/>
        </w:rPr>
        <w:t xml:space="preserve">καθώς αυξάνονται οι πελάτες αν και αναμένουμε να αυξηθεί η καθυστέρηση και όταν είναι λιγότεροι να μειώνεται </w:t>
      </w:r>
      <w:r w:rsidR="00FE5A8F">
        <w:rPr>
          <w:lang w:val="el-GR"/>
        </w:rPr>
        <w:t>, ωστόσο δεν πραγματοποιείται αυτό αφού σημαντικό ρόλο στην καθυστέρηση</w:t>
      </w:r>
      <w:r w:rsidR="008124E8">
        <w:rPr>
          <w:lang w:val="el-GR"/>
        </w:rPr>
        <w:t xml:space="preserve"> εκτός από τον αριθμό τον πελατών,</w:t>
      </w:r>
      <w:r w:rsidR="00FE5A8F">
        <w:rPr>
          <w:lang w:val="el-GR"/>
        </w:rPr>
        <w:t xml:space="preserve"> παίζει</w:t>
      </w:r>
      <w:r w:rsidR="00EB27C9">
        <w:rPr>
          <w:lang w:val="el-GR"/>
        </w:rPr>
        <w:t xml:space="preserve"> το μέγεθος του </w:t>
      </w:r>
      <w:proofErr w:type="spellStart"/>
      <w:r w:rsidR="00EB27C9">
        <w:rPr>
          <w:lang w:val="en-US"/>
        </w:rPr>
        <w:t>playload</w:t>
      </w:r>
      <w:proofErr w:type="spellEnd"/>
      <w:r w:rsidR="00FE5A8F">
        <w:rPr>
          <w:lang w:val="el-GR"/>
        </w:rPr>
        <w:t xml:space="preserve">. Υπάρχουν δηλαδή περιπτώσεις όπου αν και οι πελάτες είναι ελάχιστοι ωστόσο σε κάθε αίτηση τους να ζητούν </w:t>
      </w:r>
      <w:r w:rsidR="00EB27C9" w:rsidRPr="00EB27C9">
        <w:rPr>
          <w:lang w:val="el-GR"/>
        </w:rPr>
        <w:t xml:space="preserve"> </w:t>
      </w:r>
      <w:r w:rsidR="00FE5A8F">
        <w:rPr>
          <w:lang w:val="el-GR"/>
        </w:rPr>
        <w:t xml:space="preserve">κάτι το οποίο να έχει μεγάλο μέγεθος (στην περίπτωση του προγράμματος μας το μέγεθος παράγεται τυχαία). Η </w:t>
      </w:r>
      <w:r w:rsidR="008124E8">
        <w:rPr>
          <w:lang w:val="el-GR"/>
        </w:rPr>
        <w:t>δεύτερη</w:t>
      </w:r>
      <w:r w:rsidR="00FE5A8F">
        <w:rPr>
          <w:lang w:val="el-GR"/>
        </w:rPr>
        <w:t xml:space="preserve"> περίπτωση είναι να ζητούν περισσότεροι πελάτες να εξυπηρετηθούν όμως το μέγεθος της αίτησης τους να είναι αρκετά μικρό. Ως αποτέλεσμα προκύπτει η πιο πάνω αυξομείωση στην καθυστέρηση των μηνυμάτων. </w:t>
      </w:r>
    </w:p>
    <w:p w:rsidR="009D2F15" w:rsidRPr="00061D1B" w:rsidRDefault="009D2F15" w:rsidP="000C73DA">
      <w:pPr>
        <w:tabs>
          <w:tab w:val="left" w:pos="1608"/>
        </w:tabs>
        <w:jc w:val="both"/>
        <w:rPr>
          <w:lang w:val="el-GR"/>
        </w:rPr>
      </w:pPr>
      <w:r>
        <w:rPr>
          <w:lang w:val="el-GR"/>
        </w:rPr>
        <w:t>Το πείραμα έχει γίνει με 1 και με 2 επεξεργαστές. Αν και αναμέναμε σε ένα επεξεργα</w:t>
      </w:r>
      <w:r w:rsidR="0092389D">
        <w:rPr>
          <w:lang w:val="el-GR"/>
        </w:rPr>
        <w:t>στή να έχουμε μεγαλύτερη καθυστέ</w:t>
      </w:r>
      <w:r>
        <w:rPr>
          <w:lang w:val="el-GR"/>
        </w:rPr>
        <w:t>ρηση,</w:t>
      </w:r>
      <w:r w:rsidR="001107C2">
        <w:rPr>
          <w:lang w:val="el-GR"/>
        </w:rPr>
        <w:t xml:space="preserve"> </w:t>
      </w:r>
      <w:r>
        <w:rPr>
          <w:lang w:val="el-GR"/>
        </w:rPr>
        <w:t xml:space="preserve">τα αποτελέσματα δείχνουν το αντίθετο. Αυτό εξηγείται όπως αναφέραμε και παραπάνω από το γεγονός ότι το μέγεθος του μηνύματος παράγεται τυχαία και για αυτό μπορεί στην περίπτωση των 2 επεξεργαστών να ήταν μεγαλύτερη. </w:t>
      </w:r>
    </w:p>
    <w:p w:rsidR="00061D1B" w:rsidRDefault="00061D1B" w:rsidP="000C73DA">
      <w:pPr>
        <w:tabs>
          <w:tab w:val="left" w:pos="1608"/>
        </w:tabs>
        <w:jc w:val="both"/>
        <w:rPr>
          <w:lang w:val="en-US"/>
        </w:rPr>
      </w:pPr>
    </w:p>
    <w:p w:rsidR="00BD1E09" w:rsidRDefault="00382979" w:rsidP="000C73DA">
      <w:pPr>
        <w:tabs>
          <w:tab w:val="left" w:pos="1608"/>
        </w:tabs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B6C46" wp14:editId="7D34BC6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1E09" w:rsidRDefault="00BD1E09" w:rsidP="00BD1E09">
      <w:pPr>
        <w:rPr>
          <w:lang w:val="en-US"/>
        </w:rPr>
      </w:pPr>
    </w:p>
    <w:p w:rsidR="00061D1B" w:rsidRDefault="00BD1E09" w:rsidP="00BD1E09">
      <w:pPr>
        <w:rPr>
          <w:lang w:val="en-US"/>
        </w:rPr>
      </w:pPr>
      <w:r>
        <w:rPr>
          <w:lang w:val="en-US"/>
        </w:rPr>
        <w:t>Y:/Throughput</w:t>
      </w:r>
      <w:r w:rsidR="009346D8" w:rsidRPr="00CB5E97">
        <w:rPr>
          <w:lang w:val="en-US"/>
        </w:rPr>
        <w:t xml:space="preserve"> </w:t>
      </w:r>
      <w:r>
        <w:rPr>
          <w:lang w:val="en-US"/>
        </w:rPr>
        <w:t>(Queries per 10 milliseconds), X:/Users</w:t>
      </w:r>
    </w:p>
    <w:p w:rsidR="00BD1E09" w:rsidRDefault="00C54C86" w:rsidP="00BD1E09">
      <w:pPr>
        <w:rPr>
          <w:lang w:val="el-GR"/>
        </w:rPr>
      </w:pPr>
      <w:r>
        <w:rPr>
          <w:lang w:val="el-GR"/>
        </w:rPr>
        <w:t xml:space="preserve">Στο παραπάνω γράφημα παρατηρούμε ότι το  </w:t>
      </w:r>
      <w:r>
        <w:rPr>
          <w:lang w:val="en-US"/>
        </w:rPr>
        <w:t>Throughput</w:t>
      </w:r>
      <w:r w:rsidRPr="00C54C86">
        <w:rPr>
          <w:lang w:val="el-GR"/>
        </w:rPr>
        <w:t xml:space="preserve"> αν</w:t>
      </w:r>
      <w:r>
        <w:rPr>
          <w:lang w:val="el-GR"/>
        </w:rPr>
        <w:t xml:space="preserve">άλογα με τον αριθμό των χρηστών αυξάνεται και από ένα σημείο και έπειτα τείνει να σταθεροποιηθεί. Αυτό συμβαίνει γιατί καθώς ο αριθμός των χρηστών αυξάνεται θα αυξηθεί και ο αριθμός των αιτημάτων που ο εξυπηρετητής πρέπει να εξυπηρετήσει. Όμως όταν ο εξυπηρετητής δέχεται το μέγιστο των αιτημάτων που θα μπορεί υπολογιστικά να εξυπηρετήσει το </w:t>
      </w:r>
      <w:r>
        <w:rPr>
          <w:lang w:val="en-US"/>
        </w:rPr>
        <w:t>throughput</w:t>
      </w:r>
      <w:r w:rsidRPr="00C54C86">
        <w:rPr>
          <w:lang w:val="el-GR"/>
        </w:rPr>
        <w:t xml:space="preserve"> </w:t>
      </w:r>
      <w:r>
        <w:rPr>
          <w:lang w:val="el-GR"/>
        </w:rPr>
        <w:t>ξεκινά να γίνεται σταθερό.</w:t>
      </w:r>
    </w:p>
    <w:p w:rsidR="00C54C86" w:rsidRDefault="00C54C86" w:rsidP="00BD1E09">
      <w:pPr>
        <w:rPr>
          <w:lang w:val="en-US"/>
        </w:rPr>
      </w:pPr>
      <w:r>
        <w:rPr>
          <w:lang w:val="el-GR"/>
        </w:rPr>
        <w:t xml:space="preserve">Παρατηρούμε επίσης ότι με 2 </w:t>
      </w:r>
      <w:r>
        <w:rPr>
          <w:lang w:val="en-US"/>
        </w:rPr>
        <w:t>CPU</w:t>
      </w:r>
      <w:r>
        <w:rPr>
          <w:lang w:val="el-GR"/>
        </w:rPr>
        <w:t xml:space="preserve"> το </w:t>
      </w:r>
      <w:r>
        <w:rPr>
          <w:lang w:val="en-US"/>
        </w:rPr>
        <w:t>Throughput</w:t>
      </w:r>
      <w:r w:rsidRPr="00C54C86">
        <w:rPr>
          <w:lang w:val="el-GR"/>
        </w:rPr>
        <w:t xml:space="preserve"> </w:t>
      </w:r>
      <w:r>
        <w:rPr>
          <w:lang w:val="el-GR"/>
        </w:rPr>
        <w:t xml:space="preserve">είναι μεγαλύτερο αφού ο εξυπηρετητής με μεγαλύτερη υπολογιστική δύναμη θα μπορεί να εξυπηρετεί μεγαλύτερο αριθμό αιτημάτων </w:t>
      </w:r>
      <w:r w:rsidR="009346D8">
        <w:rPr>
          <w:lang w:val="el-GR"/>
        </w:rPr>
        <w:t>σε συγκεκριμένη μονάδα χρόνου.</w:t>
      </w:r>
    </w:p>
    <w:p w:rsidR="00E575E8" w:rsidRDefault="00E575E8" w:rsidP="00BD1E09">
      <w:pPr>
        <w:rPr>
          <w:lang w:val="en-US"/>
        </w:rPr>
      </w:pPr>
    </w:p>
    <w:p w:rsidR="00E575E8" w:rsidRPr="00E575E8" w:rsidRDefault="00E575E8" w:rsidP="00BD1E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5285B5" wp14:editId="31BB36D3">
            <wp:extent cx="5731510" cy="2914742"/>
            <wp:effectExtent l="0" t="0" r="254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46D8" w:rsidRDefault="009346D8" w:rsidP="00BD1E09">
      <w:pPr>
        <w:rPr>
          <w:lang w:val="en-US"/>
        </w:rPr>
      </w:pPr>
    </w:p>
    <w:p w:rsidR="00E575E8" w:rsidRDefault="00E575E8" w:rsidP="00BD1E09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F941281" wp14:editId="4150A71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E575E8" w:rsidRDefault="00E575E8" w:rsidP="00BD1E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792A0" wp14:editId="35271E70">
            <wp:extent cx="5731510" cy="3168864"/>
            <wp:effectExtent l="0" t="0" r="254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75E8" w:rsidRPr="00E575E8" w:rsidRDefault="00E575E8" w:rsidP="00E575E8">
      <w:pPr>
        <w:rPr>
          <w:lang w:val="en-US"/>
        </w:rPr>
      </w:pPr>
    </w:p>
    <w:p w:rsidR="00E575E8" w:rsidRPr="00E575E8" w:rsidRDefault="00E575E8" w:rsidP="00E575E8">
      <w:pPr>
        <w:rPr>
          <w:lang w:val="en-US"/>
        </w:rPr>
      </w:pPr>
    </w:p>
    <w:p w:rsidR="00E575E8" w:rsidRDefault="00E575E8" w:rsidP="00E575E8">
      <w:pPr>
        <w:rPr>
          <w:lang w:val="en-US"/>
        </w:rPr>
      </w:pPr>
    </w:p>
    <w:p w:rsidR="00E575E8" w:rsidRPr="00E575E8" w:rsidRDefault="00E575E8" w:rsidP="00E575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B7196" wp14:editId="29149DBB">
            <wp:extent cx="5731510" cy="3168864"/>
            <wp:effectExtent l="0" t="0" r="254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575E8" w:rsidRPr="00E5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01"/>
    <w:rsid w:val="00061D1B"/>
    <w:rsid w:val="000C73DA"/>
    <w:rsid w:val="001107C2"/>
    <w:rsid w:val="0014170E"/>
    <w:rsid w:val="00382979"/>
    <w:rsid w:val="00655667"/>
    <w:rsid w:val="006D4201"/>
    <w:rsid w:val="00744A53"/>
    <w:rsid w:val="008124E8"/>
    <w:rsid w:val="0092389D"/>
    <w:rsid w:val="009346D8"/>
    <w:rsid w:val="009D2F15"/>
    <w:rsid w:val="00BD1E09"/>
    <w:rsid w:val="00C54C86"/>
    <w:rsid w:val="00CB5E97"/>
    <w:rsid w:val="00DF0BB0"/>
    <w:rsid w:val="00E251C8"/>
    <w:rsid w:val="00E575E8"/>
    <w:rsid w:val="00E65280"/>
    <w:rsid w:val="00EB27C9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university\epl425\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CPU15USER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CPU15USER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3"/>
    </mc:Choice>
    <mc:Fallback>
      <c:style val="4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Latency</a:t>
            </a:r>
            <a:r>
              <a:rPr lang="el-GR"/>
              <a:t> </a:t>
            </a:r>
            <a:r>
              <a:rPr lang="en-US"/>
              <a:t>with 2 CPU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Sheet1!$W$1</c:f>
              <c:strCache>
                <c:ptCount val="1"/>
                <c:pt idx="0">
                  <c:v>Totals</c:v>
                </c:pt>
              </c:strCache>
            </c:strRef>
          </c:tx>
          <c:marker>
            <c:symbol val="none"/>
          </c:marker>
          <c:cat>
            <c:numRef>
              <c:f>Sheet1!$V$2:$V$6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Sheet1!$W$2:$W$6</c:f>
              <c:numCache>
                <c:formatCode>General</c:formatCode>
                <c:ptCount val="5"/>
                <c:pt idx="0">
                  <c:v>799.5200000000001</c:v>
                </c:pt>
                <c:pt idx="1">
                  <c:v>1043.8200000000002</c:v>
                </c:pt>
                <c:pt idx="2">
                  <c:v>866.86666666666679</c:v>
                </c:pt>
                <c:pt idx="3">
                  <c:v>818.94</c:v>
                </c:pt>
                <c:pt idx="4">
                  <c:v>885.71199999999988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471424"/>
        <c:axId val="320472960"/>
      </c:lineChart>
      <c:catAx>
        <c:axId val="320471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0472960"/>
        <c:crosses val="autoZero"/>
        <c:auto val="1"/>
        <c:lblAlgn val="ctr"/>
        <c:lblOffset val="100"/>
        <c:noMultiLvlLbl val="0"/>
      </c:catAx>
      <c:valAx>
        <c:axId val="320472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0471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Latency with 1 CPU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0601832665653637E-2"/>
          <c:y val="0.21214744329597238"/>
          <c:w val="0.8336080029470001"/>
          <c:h val="0.6518500944710901"/>
        </c:manualLayout>
      </c:layout>
      <c:lineChart>
        <c:grouping val="standard"/>
        <c:varyColors val="0"/>
        <c:ser>
          <c:idx val="0"/>
          <c:order val="0"/>
          <c:tx>
            <c:v>latency 1 CPU</c:v>
          </c:tx>
          <c:marker>
            <c:symbol val="none"/>
          </c:marker>
          <c:cat>
            <c:numRef>
              <c:f>Sheet1!$L$6:$L$10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Sheet1!$N$6:$N$10</c:f>
              <c:numCache>
                <c:formatCode>General</c:formatCode>
                <c:ptCount val="5"/>
                <c:pt idx="0">
                  <c:v>793</c:v>
                </c:pt>
                <c:pt idx="1">
                  <c:v>800</c:v>
                </c:pt>
                <c:pt idx="2">
                  <c:v>813</c:v>
                </c:pt>
                <c:pt idx="3">
                  <c:v>800</c:v>
                </c:pt>
                <c:pt idx="4">
                  <c:v>826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6079104"/>
        <c:axId val="356080640"/>
      </c:lineChart>
      <c:catAx>
        <c:axId val="35607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080640"/>
        <c:crosses val="autoZero"/>
        <c:auto val="1"/>
        <c:lblAlgn val="ctr"/>
        <c:lblOffset val="100"/>
        <c:noMultiLvlLbl val="0"/>
      </c:catAx>
      <c:valAx>
        <c:axId val="356080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079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3"/>
    </mc:Choice>
    <mc:Fallback>
      <c:style val="43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07174103237096E-2"/>
          <c:y val="5.1400554097404488E-2"/>
          <c:w val="0.6833576115485564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v>Throughput(1CPU)</c:v>
          </c:tx>
          <c:marker>
            <c:symbol val="none"/>
          </c:marker>
          <c:cat>
            <c:numRef>
              <c:f>Sheet1!$M$16:$M$20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Sheet1!$N$16:$N$20</c:f>
              <c:numCache>
                <c:formatCode>General</c:formatCode>
                <c:ptCount val="5"/>
                <c:pt idx="0">
                  <c:v>28.442399999999999</c:v>
                </c:pt>
                <c:pt idx="1">
                  <c:v>59.102800000000002</c:v>
                </c:pt>
                <c:pt idx="2">
                  <c:v>84.227699999999999</c:v>
                </c:pt>
                <c:pt idx="3">
                  <c:v>111.74299999999999</c:v>
                </c:pt>
                <c:pt idx="4">
                  <c:v>116</c:v>
                </c:pt>
              </c:numCache>
            </c:numRef>
          </c:val>
          <c:smooth val="0"/>
        </c:ser>
        <c:ser>
          <c:idx val="1"/>
          <c:order val="1"/>
          <c:tx>
            <c:v>Throughput(2CPU)</c:v>
          </c:tx>
          <c:marker>
            <c:symbol val="none"/>
          </c:marker>
          <c:cat>
            <c:numRef>
              <c:f>Sheet1!$M$16:$M$20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Sheet1!$O$16:$O$20</c:f>
              <c:numCache>
                <c:formatCode>General</c:formatCode>
                <c:ptCount val="5"/>
                <c:pt idx="0">
                  <c:v>31.176400000000001</c:v>
                </c:pt>
                <c:pt idx="1">
                  <c:v>60.45</c:v>
                </c:pt>
                <c:pt idx="2">
                  <c:v>100.4478</c:v>
                </c:pt>
                <c:pt idx="3">
                  <c:v>119.246</c:v>
                </c:pt>
                <c:pt idx="4">
                  <c:v>122.129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6199808"/>
        <c:axId val="356205696"/>
      </c:lineChart>
      <c:catAx>
        <c:axId val="35619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205696"/>
        <c:crosses val="autoZero"/>
        <c:auto val="1"/>
        <c:lblAlgn val="ctr"/>
        <c:lblOffset val="100"/>
        <c:noMultiLvlLbl val="0"/>
      </c:catAx>
      <c:valAx>
        <c:axId val="356205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199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887379702537175"/>
          <c:y val="0.24498651210265385"/>
          <c:w val="0.19445953630796153"/>
          <c:h val="0.41743438320209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1"/>
    </mc:Choice>
    <mc:Fallback>
      <c:style val="41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CPU Load</c:v>
          </c:tx>
          <c:invertIfNegative val="0"/>
          <c:cat>
            <c:numRef>
              <c:f>[CPU15USERS.xlsx]Sheet1!$A:$A</c:f>
              <c:numCache>
                <c:formatCode>General</c:formatCode>
                <c:ptCount val="1048576"/>
                <c:pt idx="0">
                  <c:v>1</c:v>
                </c:pt>
                <c:pt idx="1">
                  <c:v>14</c:v>
                </c:pt>
                <c:pt idx="2">
                  <c:v>46</c:v>
                </c:pt>
                <c:pt idx="3">
                  <c:v>142</c:v>
                </c:pt>
                <c:pt idx="4">
                  <c:v>282</c:v>
                </c:pt>
                <c:pt idx="5">
                  <c:v>282</c:v>
                </c:pt>
                <c:pt idx="6">
                  <c:v>292</c:v>
                </c:pt>
                <c:pt idx="7">
                  <c:v>336</c:v>
                </c:pt>
                <c:pt idx="8">
                  <c:v>401</c:v>
                </c:pt>
                <c:pt idx="9">
                  <c:v>407</c:v>
                </c:pt>
                <c:pt idx="10">
                  <c:v>443</c:v>
                </c:pt>
                <c:pt idx="11">
                  <c:v>449</c:v>
                </c:pt>
                <c:pt idx="12">
                  <c:v>461</c:v>
                </c:pt>
                <c:pt idx="13">
                  <c:v>464</c:v>
                </c:pt>
                <c:pt idx="14">
                  <c:v>485</c:v>
                </c:pt>
                <c:pt idx="15">
                  <c:v>494</c:v>
                </c:pt>
                <c:pt idx="16">
                  <c:v>521</c:v>
                </c:pt>
                <c:pt idx="17">
                  <c:v>548</c:v>
                </c:pt>
                <c:pt idx="18">
                  <c:v>549</c:v>
                </c:pt>
                <c:pt idx="19">
                  <c:v>550</c:v>
                </c:pt>
                <c:pt idx="20">
                  <c:v>553</c:v>
                </c:pt>
                <c:pt idx="21">
                  <c:v>554</c:v>
                </c:pt>
                <c:pt idx="22">
                  <c:v>554</c:v>
                </c:pt>
                <c:pt idx="23">
                  <c:v>567</c:v>
                </c:pt>
                <c:pt idx="24">
                  <c:v>568</c:v>
                </c:pt>
                <c:pt idx="25">
                  <c:v>575</c:v>
                </c:pt>
                <c:pt idx="26">
                  <c:v>582</c:v>
                </c:pt>
                <c:pt idx="27">
                  <c:v>591</c:v>
                </c:pt>
                <c:pt idx="28">
                  <c:v>592</c:v>
                </c:pt>
                <c:pt idx="29">
                  <c:v>597</c:v>
                </c:pt>
                <c:pt idx="30">
                  <c:v>598</c:v>
                </c:pt>
                <c:pt idx="31">
                  <c:v>604</c:v>
                </c:pt>
                <c:pt idx="32">
                  <c:v>606</c:v>
                </c:pt>
                <c:pt idx="33">
                  <c:v>608</c:v>
                </c:pt>
                <c:pt idx="34">
                  <c:v>609</c:v>
                </c:pt>
                <c:pt idx="35">
                  <c:v>612</c:v>
                </c:pt>
                <c:pt idx="36">
                  <c:v>612</c:v>
                </c:pt>
                <c:pt idx="37">
                  <c:v>613</c:v>
                </c:pt>
                <c:pt idx="38">
                  <c:v>613</c:v>
                </c:pt>
                <c:pt idx="39">
                  <c:v>613</c:v>
                </c:pt>
                <c:pt idx="40">
                  <c:v>614</c:v>
                </c:pt>
                <c:pt idx="41">
                  <c:v>615</c:v>
                </c:pt>
                <c:pt idx="42">
                  <c:v>616</c:v>
                </c:pt>
                <c:pt idx="43">
                  <c:v>616</c:v>
                </c:pt>
                <c:pt idx="44">
                  <c:v>617</c:v>
                </c:pt>
                <c:pt idx="45">
                  <c:v>618</c:v>
                </c:pt>
                <c:pt idx="46">
                  <c:v>618</c:v>
                </c:pt>
                <c:pt idx="47">
                  <c:v>618</c:v>
                </c:pt>
                <c:pt idx="48">
                  <c:v>618</c:v>
                </c:pt>
                <c:pt idx="49">
                  <c:v>619</c:v>
                </c:pt>
                <c:pt idx="50">
                  <c:v>619</c:v>
                </c:pt>
                <c:pt idx="51">
                  <c:v>621</c:v>
                </c:pt>
                <c:pt idx="52">
                  <c:v>621</c:v>
                </c:pt>
                <c:pt idx="53">
                  <c:v>622</c:v>
                </c:pt>
                <c:pt idx="54">
                  <c:v>622</c:v>
                </c:pt>
                <c:pt idx="55">
                  <c:v>623</c:v>
                </c:pt>
                <c:pt idx="56">
                  <c:v>623</c:v>
                </c:pt>
                <c:pt idx="57">
                  <c:v>624</c:v>
                </c:pt>
                <c:pt idx="58">
                  <c:v>624</c:v>
                </c:pt>
                <c:pt idx="59">
                  <c:v>625</c:v>
                </c:pt>
                <c:pt idx="60">
                  <c:v>625</c:v>
                </c:pt>
                <c:pt idx="61">
                  <c:v>625</c:v>
                </c:pt>
                <c:pt idx="62">
                  <c:v>625</c:v>
                </c:pt>
                <c:pt idx="63">
                  <c:v>626</c:v>
                </c:pt>
                <c:pt idx="64">
                  <c:v>626</c:v>
                </c:pt>
                <c:pt idx="65">
                  <c:v>626</c:v>
                </c:pt>
                <c:pt idx="66">
                  <c:v>628</c:v>
                </c:pt>
                <c:pt idx="67">
                  <c:v>628</c:v>
                </c:pt>
                <c:pt idx="68">
                  <c:v>628</c:v>
                </c:pt>
                <c:pt idx="69">
                  <c:v>629</c:v>
                </c:pt>
                <c:pt idx="70">
                  <c:v>629</c:v>
                </c:pt>
                <c:pt idx="71">
                  <c:v>630</c:v>
                </c:pt>
                <c:pt idx="72">
                  <c:v>631</c:v>
                </c:pt>
                <c:pt idx="73">
                  <c:v>631</c:v>
                </c:pt>
                <c:pt idx="74">
                  <c:v>631</c:v>
                </c:pt>
                <c:pt idx="75">
                  <c:v>633</c:v>
                </c:pt>
                <c:pt idx="76">
                  <c:v>633</c:v>
                </c:pt>
                <c:pt idx="77">
                  <c:v>634</c:v>
                </c:pt>
                <c:pt idx="78">
                  <c:v>637</c:v>
                </c:pt>
                <c:pt idx="79">
                  <c:v>643</c:v>
                </c:pt>
                <c:pt idx="80">
                  <c:v>643</c:v>
                </c:pt>
              </c:numCache>
            </c:numRef>
          </c:cat>
          <c:val>
            <c:numRef>
              <c:f>[CPU15USERS.xlsx]Sheet1!$B$1:$B$81</c:f>
              <c:numCache>
                <c:formatCode>General</c:formatCode>
                <c:ptCount val="81"/>
                <c:pt idx="0">
                  <c:v>0</c:v>
                </c:pt>
                <c:pt idx="1">
                  <c:v>0.9</c:v>
                </c:pt>
                <c:pt idx="2">
                  <c:v>2</c:v>
                </c:pt>
                <c:pt idx="3">
                  <c:v>4.9000000000000004</c:v>
                </c:pt>
                <c:pt idx="4">
                  <c:v>0</c:v>
                </c:pt>
                <c:pt idx="5">
                  <c:v>6.9</c:v>
                </c:pt>
                <c:pt idx="6">
                  <c:v>99.1</c:v>
                </c:pt>
                <c:pt idx="7">
                  <c:v>28.7</c:v>
                </c:pt>
                <c:pt idx="8">
                  <c:v>9.1</c:v>
                </c:pt>
                <c:pt idx="9">
                  <c:v>57.8</c:v>
                </c:pt>
                <c:pt idx="10">
                  <c:v>29.7</c:v>
                </c:pt>
                <c:pt idx="11">
                  <c:v>98</c:v>
                </c:pt>
                <c:pt idx="12">
                  <c:v>67.599999999999994</c:v>
                </c:pt>
                <c:pt idx="13">
                  <c:v>97</c:v>
                </c:pt>
                <c:pt idx="14">
                  <c:v>98</c:v>
                </c:pt>
                <c:pt idx="15">
                  <c:v>97</c:v>
                </c:pt>
                <c:pt idx="16">
                  <c:v>15</c:v>
                </c:pt>
                <c:pt idx="17">
                  <c:v>25.2</c:v>
                </c:pt>
                <c:pt idx="18">
                  <c:v>18</c:v>
                </c:pt>
                <c:pt idx="19">
                  <c:v>64.2</c:v>
                </c:pt>
                <c:pt idx="20">
                  <c:v>15</c:v>
                </c:pt>
                <c:pt idx="21">
                  <c:v>97</c:v>
                </c:pt>
                <c:pt idx="22">
                  <c:v>10.1</c:v>
                </c:pt>
                <c:pt idx="23">
                  <c:v>10.199999999999999</c:v>
                </c:pt>
                <c:pt idx="24">
                  <c:v>84.8</c:v>
                </c:pt>
                <c:pt idx="25">
                  <c:v>11</c:v>
                </c:pt>
                <c:pt idx="26">
                  <c:v>15.1</c:v>
                </c:pt>
                <c:pt idx="27">
                  <c:v>12.2</c:v>
                </c:pt>
                <c:pt idx="28">
                  <c:v>96</c:v>
                </c:pt>
                <c:pt idx="29">
                  <c:v>16.3</c:v>
                </c:pt>
                <c:pt idx="30">
                  <c:v>12.2</c:v>
                </c:pt>
                <c:pt idx="31">
                  <c:v>12.1</c:v>
                </c:pt>
                <c:pt idx="32">
                  <c:v>16.899999999999999</c:v>
                </c:pt>
                <c:pt idx="33">
                  <c:v>11.7</c:v>
                </c:pt>
                <c:pt idx="34">
                  <c:v>15.1</c:v>
                </c:pt>
                <c:pt idx="35">
                  <c:v>97</c:v>
                </c:pt>
                <c:pt idx="36">
                  <c:v>12.2</c:v>
                </c:pt>
                <c:pt idx="37">
                  <c:v>23</c:v>
                </c:pt>
                <c:pt idx="38">
                  <c:v>12.2</c:v>
                </c:pt>
                <c:pt idx="39">
                  <c:v>11.8</c:v>
                </c:pt>
                <c:pt idx="40">
                  <c:v>24</c:v>
                </c:pt>
                <c:pt idx="41">
                  <c:v>13</c:v>
                </c:pt>
                <c:pt idx="42">
                  <c:v>12.2</c:v>
                </c:pt>
                <c:pt idx="43">
                  <c:v>12.7</c:v>
                </c:pt>
                <c:pt idx="44">
                  <c:v>12.2</c:v>
                </c:pt>
                <c:pt idx="45">
                  <c:v>11.4</c:v>
                </c:pt>
                <c:pt idx="46">
                  <c:v>11.8</c:v>
                </c:pt>
                <c:pt idx="47">
                  <c:v>13.2</c:v>
                </c:pt>
                <c:pt idx="48">
                  <c:v>12.8</c:v>
                </c:pt>
                <c:pt idx="49">
                  <c:v>13.2</c:v>
                </c:pt>
                <c:pt idx="50">
                  <c:v>12.3</c:v>
                </c:pt>
                <c:pt idx="51">
                  <c:v>11.3</c:v>
                </c:pt>
                <c:pt idx="52">
                  <c:v>12.3</c:v>
                </c:pt>
                <c:pt idx="53">
                  <c:v>11.6</c:v>
                </c:pt>
                <c:pt idx="54">
                  <c:v>12.1</c:v>
                </c:pt>
                <c:pt idx="55">
                  <c:v>13</c:v>
                </c:pt>
                <c:pt idx="56">
                  <c:v>12.1</c:v>
                </c:pt>
                <c:pt idx="57">
                  <c:v>13.4</c:v>
                </c:pt>
                <c:pt idx="58">
                  <c:v>12</c:v>
                </c:pt>
                <c:pt idx="59">
                  <c:v>96</c:v>
                </c:pt>
                <c:pt idx="60">
                  <c:v>14.4</c:v>
                </c:pt>
                <c:pt idx="61">
                  <c:v>16.100000000000001</c:v>
                </c:pt>
                <c:pt idx="62">
                  <c:v>13.4</c:v>
                </c:pt>
                <c:pt idx="63">
                  <c:v>12.1</c:v>
                </c:pt>
                <c:pt idx="64">
                  <c:v>24.2</c:v>
                </c:pt>
                <c:pt idx="65">
                  <c:v>12.5</c:v>
                </c:pt>
                <c:pt idx="66">
                  <c:v>17.399999999999999</c:v>
                </c:pt>
                <c:pt idx="67">
                  <c:v>11.3</c:v>
                </c:pt>
                <c:pt idx="68">
                  <c:v>11.2</c:v>
                </c:pt>
                <c:pt idx="69">
                  <c:v>13</c:v>
                </c:pt>
                <c:pt idx="70">
                  <c:v>12.5</c:v>
                </c:pt>
                <c:pt idx="71">
                  <c:v>12.5</c:v>
                </c:pt>
                <c:pt idx="72">
                  <c:v>12.5</c:v>
                </c:pt>
                <c:pt idx="73">
                  <c:v>13.1</c:v>
                </c:pt>
                <c:pt idx="74">
                  <c:v>15.4</c:v>
                </c:pt>
                <c:pt idx="75">
                  <c:v>11.7</c:v>
                </c:pt>
                <c:pt idx="76">
                  <c:v>12.7</c:v>
                </c:pt>
                <c:pt idx="77">
                  <c:v>13</c:v>
                </c:pt>
                <c:pt idx="78">
                  <c:v>11.7</c:v>
                </c:pt>
                <c:pt idx="79">
                  <c:v>12.1</c:v>
                </c:pt>
                <c:pt idx="80">
                  <c:v>13.2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6234368"/>
        <c:axId val="356235904"/>
      </c:barChart>
      <c:catAx>
        <c:axId val="356234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235904"/>
        <c:crosses val="autoZero"/>
        <c:auto val="1"/>
        <c:lblAlgn val="ctr"/>
        <c:lblOffset val="100"/>
        <c:noMultiLvlLbl val="0"/>
      </c:catAx>
      <c:valAx>
        <c:axId val="356235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234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 Load</c:v>
          </c:tx>
          <c:marker>
            <c:symbol val="none"/>
          </c:marker>
          <c:cat>
            <c:numRef>
              <c:f>[CPU15USERS.xlsx]Sheet1!$A:$A</c:f>
              <c:numCache>
                <c:formatCode>General</c:formatCode>
                <c:ptCount val="1048576"/>
                <c:pt idx="0">
                  <c:v>1</c:v>
                </c:pt>
                <c:pt idx="1">
                  <c:v>14</c:v>
                </c:pt>
                <c:pt idx="2">
                  <c:v>46</c:v>
                </c:pt>
                <c:pt idx="3">
                  <c:v>142</c:v>
                </c:pt>
                <c:pt idx="4">
                  <c:v>282</c:v>
                </c:pt>
                <c:pt idx="5">
                  <c:v>282</c:v>
                </c:pt>
                <c:pt idx="6">
                  <c:v>292</c:v>
                </c:pt>
                <c:pt idx="7">
                  <c:v>336</c:v>
                </c:pt>
                <c:pt idx="8">
                  <c:v>401</c:v>
                </c:pt>
                <c:pt idx="9">
                  <c:v>407</c:v>
                </c:pt>
                <c:pt idx="10">
                  <c:v>443</c:v>
                </c:pt>
                <c:pt idx="11">
                  <c:v>449</c:v>
                </c:pt>
                <c:pt idx="12">
                  <c:v>461</c:v>
                </c:pt>
                <c:pt idx="13">
                  <c:v>464</c:v>
                </c:pt>
                <c:pt idx="14">
                  <c:v>485</c:v>
                </c:pt>
                <c:pt idx="15">
                  <c:v>494</c:v>
                </c:pt>
                <c:pt idx="16">
                  <c:v>521</c:v>
                </c:pt>
                <c:pt idx="17">
                  <c:v>548</c:v>
                </c:pt>
                <c:pt idx="18">
                  <c:v>549</c:v>
                </c:pt>
                <c:pt idx="19">
                  <c:v>550</c:v>
                </c:pt>
                <c:pt idx="20">
                  <c:v>553</c:v>
                </c:pt>
                <c:pt idx="21">
                  <c:v>554</c:v>
                </c:pt>
                <c:pt idx="22">
                  <c:v>554</c:v>
                </c:pt>
                <c:pt idx="23">
                  <c:v>567</c:v>
                </c:pt>
                <c:pt idx="24">
                  <c:v>568</c:v>
                </c:pt>
                <c:pt idx="25">
                  <c:v>575</c:v>
                </c:pt>
                <c:pt idx="26">
                  <c:v>582</c:v>
                </c:pt>
                <c:pt idx="27">
                  <c:v>591</c:v>
                </c:pt>
                <c:pt idx="28">
                  <c:v>592</c:v>
                </c:pt>
                <c:pt idx="29">
                  <c:v>597</c:v>
                </c:pt>
                <c:pt idx="30">
                  <c:v>598</c:v>
                </c:pt>
                <c:pt idx="31">
                  <c:v>604</c:v>
                </c:pt>
                <c:pt idx="32">
                  <c:v>606</c:v>
                </c:pt>
                <c:pt idx="33">
                  <c:v>608</c:v>
                </c:pt>
                <c:pt idx="34">
                  <c:v>609</c:v>
                </c:pt>
                <c:pt idx="35">
                  <c:v>612</c:v>
                </c:pt>
                <c:pt idx="36">
                  <c:v>612</c:v>
                </c:pt>
                <c:pt idx="37">
                  <c:v>613</c:v>
                </c:pt>
                <c:pt idx="38">
                  <c:v>613</c:v>
                </c:pt>
                <c:pt idx="39">
                  <c:v>613</c:v>
                </c:pt>
                <c:pt idx="40">
                  <c:v>614</c:v>
                </c:pt>
                <c:pt idx="41">
                  <c:v>615</c:v>
                </c:pt>
                <c:pt idx="42">
                  <c:v>616</c:v>
                </c:pt>
                <c:pt idx="43">
                  <c:v>616</c:v>
                </c:pt>
                <c:pt idx="44">
                  <c:v>617</c:v>
                </c:pt>
                <c:pt idx="45">
                  <c:v>618</c:v>
                </c:pt>
                <c:pt idx="46">
                  <c:v>618</c:v>
                </c:pt>
                <c:pt idx="47">
                  <c:v>618</c:v>
                </c:pt>
                <c:pt idx="48">
                  <c:v>618</c:v>
                </c:pt>
                <c:pt idx="49">
                  <c:v>619</c:v>
                </c:pt>
                <c:pt idx="50">
                  <c:v>619</c:v>
                </c:pt>
                <c:pt idx="51">
                  <c:v>621</c:v>
                </c:pt>
                <c:pt idx="52">
                  <c:v>621</c:v>
                </c:pt>
                <c:pt idx="53">
                  <c:v>622</c:v>
                </c:pt>
                <c:pt idx="54">
                  <c:v>622</c:v>
                </c:pt>
                <c:pt idx="55">
                  <c:v>623</c:v>
                </c:pt>
                <c:pt idx="56">
                  <c:v>623</c:v>
                </c:pt>
                <c:pt idx="57">
                  <c:v>624</c:v>
                </c:pt>
                <c:pt idx="58">
                  <c:v>624</c:v>
                </c:pt>
                <c:pt idx="59">
                  <c:v>625</c:v>
                </c:pt>
                <c:pt idx="60">
                  <c:v>625</c:v>
                </c:pt>
                <c:pt idx="61">
                  <c:v>625</c:v>
                </c:pt>
                <c:pt idx="62">
                  <c:v>625</c:v>
                </c:pt>
                <c:pt idx="63">
                  <c:v>626</c:v>
                </c:pt>
                <c:pt idx="64">
                  <c:v>626</c:v>
                </c:pt>
                <c:pt idx="65">
                  <c:v>626</c:v>
                </c:pt>
                <c:pt idx="66">
                  <c:v>628</c:v>
                </c:pt>
                <c:pt idx="67">
                  <c:v>628</c:v>
                </c:pt>
                <c:pt idx="68">
                  <c:v>628</c:v>
                </c:pt>
                <c:pt idx="69">
                  <c:v>629</c:v>
                </c:pt>
                <c:pt idx="70">
                  <c:v>629</c:v>
                </c:pt>
                <c:pt idx="71">
                  <c:v>630</c:v>
                </c:pt>
                <c:pt idx="72">
                  <c:v>631</c:v>
                </c:pt>
                <c:pt idx="73">
                  <c:v>631</c:v>
                </c:pt>
                <c:pt idx="74">
                  <c:v>631</c:v>
                </c:pt>
                <c:pt idx="75">
                  <c:v>633</c:v>
                </c:pt>
                <c:pt idx="76">
                  <c:v>633</c:v>
                </c:pt>
                <c:pt idx="77">
                  <c:v>634</c:v>
                </c:pt>
                <c:pt idx="78">
                  <c:v>637</c:v>
                </c:pt>
                <c:pt idx="79">
                  <c:v>643</c:v>
                </c:pt>
                <c:pt idx="80">
                  <c:v>643</c:v>
                </c:pt>
              </c:numCache>
            </c:numRef>
          </c:cat>
          <c:val>
            <c:numRef>
              <c:f>[CPU15USERS.xlsx]Sheet1!$B$1:$B$81</c:f>
              <c:numCache>
                <c:formatCode>General</c:formatCode>
                <c:ptCount val="81"/>
                <c:pt idx="0">
                  <c:v>0</c:v>
                </c:pt>
                <c:pt idx="1">
                  <c:v>0.9</c:v>
                </c:pt>
                <c:pt idx="2">
                  <c:v>2</c:v>
                </c:pt>
                <c:pt idx="3">
                  <c:v>4.9000000000000004</c:v>
                </c:pt>
                <c:pt idx="4">
                  <c:v>0</c:v>
                </c:pt>
                <c:pt idx="5">
                  <c:v>6.9</c:v>
                </c:pt>
                <c:pt idx="6">
                  <c:v>99.1</c:v>
                </c:pt>
                <c:pt idx="7">
                  <c:v>28.7</c:v>
                </c:pt>
                <c:pt idx="8">
                  <c:v>9.1</c:v>
                </c:pt>
                <c:pt idx="9">
                  <c:v>57.8</c:v>
                </c:pt>
                <c:pt idx="10">
                  <c:v>29.7</c:v>
                </c:pt>
                <c:pt idx="11">
                  <c:v>98</c:v>
                </c:pt>
                <c:pt idx="12">
                  <c:v>67.599999999999994</c:v>
                </c:pt>
                <c:pt idx="13">
                  <c:v>97</c:v>
                </c:pt>
                <c:pt idx="14">
                  <c:v>98</c:v>
                </c:pt>
                <c:pt idx="15">
                  <c:v>97</c:v>
                </c:pt>
                <c:pt idx="16">
                  <c:v>15</c:v>
                </c:pt>
                <c:pt idx="17">
                  <c:v>25.2</c:v>
                </c:pt>
                <c:pt idx="18">
                  <c:v>18</c:v>
                </c:pt>
                <c:pt idx="19">
                  <c:v>64.2</c:v>
                </c:pt>
                <c:pt idx="20">
                  <c:v>15</c:v>
                </c:pt>
                <c:pt idx="21">
                  <c:v>97</c:v>
                </c:pt>
                <c:pt idx="22">
                  <c:v>10.1</c:v>
                </c:pt>
                <c:pt idx="23">
                  <c:v>10.199999999999999</c:v>
                </c:pt>
                <c:pt idx="24">
                  <c:v>84.8</c:v>
                </c:pt>
                <c:pt idx="25">
                  <c:v>11</c:v>
                </c:pt>
                <c:pt idx="26">
                  <c:v>15.1</c:v>
                </c:pt>
                <c:pt idx="27">
                  <c:v>12.2</c:v>
                </c:pt>
                <c:pt idx="28">
                  <c:v>96</c:v>
                </c:pt>
                <c:pt idx="29">
                  <c:v>16.3</c:v>
                </c:pt>
                <c:pt idx="30">
                  <c:v>12.2</c:v>
                </c:pt>
                <c:pt idx="31">
                  <c:v>12.1</c:v>
                </c:pt>
                <c:pt idx="32">
                  <c:v>16.899999999999999</c:v>
                </c:pt>
                <c:pt idx="33">
                  <c:v>11.7</c:v>
                </c:pt>
                <c:pt idx="34">
                  <c:v>15.1</c:v>
                </c:pt>
                <c:pt idx="35">
                  <c:v>97</c:v>
                </c:pt>
                <c:pt idx="36">
                  <c:v>12.2</c:v>
                </c:pt>
                <c:pt idx="37">
                  <c:v>23</c:v>
                </c:pt>
                <c:pt idx="38">
                  <c:v>12.2</c:v>
                </c:pt>
                <c:pt idx="39">
                  <c:v>11.8</c:v>
                </c:pt>
                <c:pt idx="40">
                  <c:v>24</c:v>
                </c:pt>
                <c:pt idx="41">
                  <c:v>13</c:v>
                </c:pt>
                <c:pt idx="42">
                  <c:v>12.2</c:v>
                </c:pt>
                <c:pt idx="43">
                  <c:v>12.7</c:v>
                </c:pt>
                <c:pt idx="44">
                  <c:v>12.2</c:v>
                </c:pt>
                <c:pt idx="45">
                  <c:v>11.4</c:v>
                </c:pt>
                <c:pt idx="46">
                  <c:v>11.8</c:v>
                </c:pt>
                <c:pt idx="47">
                  <c:v>13.2</c:v>
                </c:pt>
                <c:pt idx="48">
                  <c:v>12.8</c:v>
                </c:pt>
                <c:pt idx="49">
                  <c:v>13.2</c:v>
                </c:pt>
                <c:pt idx="50">
                  <c:v>12.3</c:v>
                </c:pt>
                <c:pt idx="51">
                  <c:v>11.3</c:v>
                </c:pt>
                <c:pt idx="52">
                  <c:v>12.3</c:v>
                </c:pt>
                <c:pt idx="53">
                  <c:v>11.6</c:v>
                </c:pt>
                <c:pt idx="54">
                  <c:v>12.1</c:v>
                </c:pt>
                <c:pt idx="55">
                  <c:v>13</c:v>
                </c:pt>
                <c:pt idx="56">
                  <c:v>12.1</c:v>
                </c:pt>
                <c:pt idx="57">
                  <c:v>13.4</c:v>
                </c:pt>
                <c:pt idx="58">
                  <c:v>12</c:v>
                </c:pt>
                <c:pt idx="59">
                  <c:v>96</c:v>
                </c:pt>
                <c:pt idx="60">
                  <c:v>14.4</c:v>
                </c:pt>
                <c:pt idx="61">
                  <c:v>16.100000000000001</c:v>
                </c:pt>
                <c:pt idx="62">
                  <c:v>13.4</c:v>
                </c:pt>
                <c:pt idx="63">
                  <c:v>12.1</c:v>
                </c:pt>
                <c:pt idx="64">
                  <c:v>24.2</c:v>
                </c:pt>
                <c:pt idx="65">
                  <c:v>12.5</c:v>
                </c:pt>
                <c:pt idx="66">
                  <c:v>17.399999999999999</c:v>
                </c:pt>
                <c:pt idx="67">
                  <c:v>11.3</c:v>
                </c:pt>
                <c:pt idx="68">
                  <c:v>11.2</c:v>
                </c:pt>
                <c:pt idx="69">
                  <c:v>13</c:v>
                </c:pt>
                <c:pt idx="70">
                  <c:v>12.5</c:v>
                </c:pt>
                <c:pt idx="71">
                  <c:v>12.5</c:v>
                </c:pt>
                <c:pt idx="72">
                  <c:v>12.5</c:v>
                </c:pt>
                <c:pt idx="73">
                  <c:v>13.1</c:v>
                </c:pt>
                <c:pt idx="74">
                  <c:v>15.4</c:v>
                </c:pt>
                <c:pt idx="75">
                  <c:v>11.7</c:v>
                </c:pt>
                <c:pt idx="76">
                  <c:v>12.7</c:v>
                </c:pt>
                <c:pt idx="77">
                  <c:v>13</c:v>
                </c:pt>
                <c:pt idx="78">
                  <c:v>11.7</c:v>
                </c:pt>
                <c:pt idx="79">
                  <c:v>12.1</c:v>
                </c:pt>
                <c:pt idx="80">
                  <c:v>13.2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6252672"/>
        <c:axId val="356262656"/>
      </c:lineChart>
      <c:catAx>
        <c:axId val="35625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262656"/>
        <c:crosses val="autoZero"/>
        <c:auto val="1"/>
        <c:lblAlgn val="ctr"/>
        <c:lblOffset val="100"/>
        <c:noMultiLvlLbl val="0"/>
      </c:catAx>
      <c:valAx>
        <c:axId val="356262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25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1"/>
    </mc:Choice>
    <mc:Fallback>
      <c:style val="41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Memory Utilization</c:v>
          </c:tx>
          <c:invertIfNegative val="0"/>
          <c:cat>
            <c:numRef>
              <c:f>Sheet1!$T$5:$T$42</c:f>
              <c:numCache>
                <c:formatCode>General</c:formatCode>
                <c:ptCount val="38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12</c:v>
                </c:pt>
                <c:pt idx="5">
                  <c:v>18</c:v>
                </c:pt>
                <c:pt idx="6">
                  <c:v>24</c:v>
                </c:pt>
                <c:pt idx="7">
                  <c:v>32</c:v>
                </c:pt>
                <c:pt idx="8">
                  <c:v>36</c:v>
                </c:pt>
                <c:pt idx="9">
                  <c:v>50</c:v>
                </c:pt>
                <c:pt idx="10">
                  <c:v>63</c:v>
                </c:pt>
                <c:pt idx="11">
                  <c:v>73</c:v>
                </c:pt>
                <c:pt idx="12">
                  <c:v>74</c:v>
                </c:pt>
                <c:pt idx="13">
                  <c:v>75</c:v>
                </c:pt>
                <c:pt idx="14">
                  <c:v>85</c:v>
                </c:pt>
                <c:pt idx="15">
                  <c:v>102</c:v>
                </c:pt>
                <c:pt idx="16">
                  <c:v>105</c:v>
                </c:pt>
                <c:pt idx="17">
                  <c:v>106</c:v>
                </c:pt>
                <c:pt idx="18">
                  <c:v>107</c:v>
                </c:pt>
                <c:pt idx="19">
                  <c:v>108</c:v>
                </c:pt>
                <c:pt idx="20">
                  <c:v>112</c:v>
                </c:pt>
                <c:pt idx="21">
                  <c:v>133</c:v>
                </c:pt>
                <c:pt idx="22">
                  <c:v>114</c:v>
                </c:pt>
                <c:pt idx="23">
                  <c:v>115</c:v>
                </c:pt>
                <c:pt idx="24">
                  <c:v>116</c:v>
                </c:pt>
                <c:pt idx="25">
                  <c:v>118</c:v>
                </c:pt>
                <c:pt idx="26">
                  <c:v>119</c:v>
                </c:pt>
                <c:pt idx="27">
                  <c:v>120</c:v>
                </c:pt>
                <c:pt idx="28">
                  <c:v>121</c:v>
                </c:pt>
                <c:pt idx="29">
                  <c:v>122</c:v>
                </c:pt>
                <c:pt idx="30">
                  <c:v>123</c:v>
                </c:pt>
                <c:pt idx="31">
                  <c:v>124</c:v>
                </c:pt>
                <c:pt idx="32">
                  <c:v>125</c:v>
                </c:pt>
                <c:pt idx="33">
                  <c:v>126</c:v>
                </c:pt>
                <c:pt idx="34">
                  <c:v>127</c:v>
                </c:pt>
                <c:pt idx="35">
                  <c:v>128</c:v>
                </c:pt>
                <c:pt idx="36">
                  <c:v>129</c:v>
                </c:pt>
                <c:pt idx="37">
                  <c:v>130</c:v>
                </c:pt>
              </c:numCache>
            </c:numRef>
          </c:cat>
          <c:val>
            <c:numRef>
              <c:f>Sheet1!$U$5:$U$42</c:f>
              <c:numCache>
                <c:formatCode>General</c:formatCode>
                <c:ptCount val="38"/>
                <c:pt idx="0">
                  <c:v>44.9</c:v>
                </c:pt>
                <c:pt idx="1">
                  <c:v>45.3</c:v>
                </c:pt>
                <c:pt idx="2">
                  <c:v>44.4</c:v>
                </c:pt>
                <c:pt idx="3">
                  <c:v>44</c:v>
                </c:pt>
                <c:pt idx="4">
                  <c:v>42.7</c:v>
                </c:pt>
                <c:pt idx="5">
                  <c:v>43.4</c:v>
                </c:pt>
                <c:pt idx="6">
                  <c:v>42</c:v>
                </c:pt>
                <c:pt idx="7">
                  <c:v>69.099999999999994</c:v>
                </c:pt>
                <c:pt idx="8">
                  <c:v>68.099999999999994</c:v>
                </c:pt>
                <c:pt idx="9">
                  <c:v>67</c:v>
                </c:pt>
                <c:pt idx="10">
                  <c:v>67.2</c:v>
                </c:pt>
                <c:pt idx="11">
                  <c:v>68.2</c:v>
                </c:pt>
                <c:pt idx="12">
                  <c:v>50</c:v>
                </c:pt>
                <c:pt idx="13">
                  <c:v>65.8</c:v>
                </c:pt>
                <c:pt idx="14">
                  <c:v>62.4</c:v>
                </c:pt>
                <c:pt idx="15">
                  <c:v>48.6</c:v>
                </c:pt>
                <c:pt idx="16">
                  <c:v>64.099999999999994</c:v>
                </c:pt>
                <c:pt idx="17">
                  <c:v>46.6</c:v>
                </c:pt>
                <c:pt idx="18">
                  <c:v>58.2</c:v>
                </c:pt>
                <c:pt idx="19">
                  <c:v>63.5</c:v>
                </c:pt>
                <c:pt idx="20">
                  <c:v>45.4</c:v>
                </c:pt>
                <c:pt idx="21">
                  <c:v>52</c:v>
                </c:pt>
                <c:pt idx="22">
                  <c:v>50.8</c:v>
                </c:pt>
                <c:pt idx="23">
                  <c:v>66.7</c:v>
                </c:pt>
                <c:pt idx="24">
                  <c:v>56.4</c:v>
                </c:pt>
                <c:pt idx="25">
                  <c:v>60.45</c:v>
                </c:pt>
                <c:pt idx="26">
                  <c:v>55.766666666666673</c:v>
                </c:pt>
                <c:pt idx="27">
                  <c:v>48.650000000000006</c:v>
                </c:pt>
                <c:pt idx="28">
                  <c:v>53.133333333333333</c:v>
                </c:pt>
                <c:pt idx="29">
                  <c:v>53.174999999999997</c:v>
                </c:pt>
                <c:pt idx="30">
                  <c:v>54.028571428571425</c:v>
                </c:pt>
                <c:pt idx="31">
                  <c:v>53.56</c:v>
                </c:pt>
                <c:pt idx="32">
                  <c:v>54.199999999999996</c:v>
                </c:pt>
                <c:pt idx="33">
                  <c:v>51.083333333333336</c:v>
                </c:pt>
                <c:pt idx="34">
                  <c:v>61.539999999999992</c:v>
                </c:pt>
                <c:pt idx="35">
                  <c:v>61.539999999999992</c:v>
                </c:pt>
                <c:pt idx="36">
                  <c:v>58.25555555555556</c:v>
                </c:pt>
                <c:pt idx="37">
                  <c:v>55.766666666666673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6303616"/>
        <c:axId val="356305152"/>
      </c:barChart>
      <c:catAx>
        <c:axId val="356303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305152"/>
        <c:crosses val="autoZero"/>
        <c:auto val="1"/>
        <c:lblAlgn val="ctr"/>
        <c:lblOffset val="100"/>
        <c:noMultiLvlLbl val="0"/>
      </c:catAx>
      <c:valAx>
        <c:axId val="356305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30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437559334338528E-2"/>
          <c:y val="0.16857996416313345"/>
          <c:w val="0.73199819942737598"/>
          <c:h val="0.7310528341409247"/>
        </c:manualLayout>
      </c:layout>
      <c:lineChart>
        <c:grouping val="standard"/>
        <c:varyColors val="0"/>
        <c:ser>
          <c:idx val="0"/>
          <c:order val="0"/>
          <c:tx>
            <c:v>Memory Utilization</c:v>
          </c:tx>
          <c:marker>
            <c:symbol val="none"/>
          </c:marker>
          <c:cat>
            <c:numRef>
              <c:f>Sheet1!$T$5:$T$42</c:f>
              <c:numCache>
                <c:formatCode>General</c:formatCode>
                <c:ptCount val="38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12</c:v>
                </c:pt>
                <c:pt idx="5">
                  <c:v>18</c:v>
                </c:pt>
                <c:pt idx="6">
                  <c:v>24</c:v>
                </c:pt>
                <c:pt idx="7">
                  <c:v>32</c:v>
                </c:pt>
                <c:pt idx="8">
                  <c:v>36</c:v>
                </c:pt>
                <c:pt idx="9">
                  <c:v>50</c:v>
                </c:pt>
                <c:pt idx="10">
                  <c:v>63</c:v>
                </c:pt>
                <c:pt idx="11">
                  <c:v>73</c:v>
                </c:pt>
                <c:pt idx="12">
                  <c:v>74</c:v>
                </c:pt>
                <c:pt idx="13">
                  <c:v>75</c:v>
                </c:pt>
                <c:pt idx="14">
                  <c:v>85</c:v>
                </c:pt>
                <c:pt idx="15">
                  <c:v>102</c:v>
                </c:pt>
                <c:pt idx="16">
                  <c:v>105</c:v>
                </c:pt>
                <c:pt idx="17">
                  <c:v>106</c:v>
                </c:pt>
                <c:pt idx="18">
                  <c:v>107</c:v>
                </c:pt>
                <c:pt idx="19">
                  <c:v>108</c:v>
                </c:pt>
                <c:pt idx="20">
                  <c:v>112</c:v>
                </c:pt>
                <c:pt idx="21">
                  <c:v>133</c:v>
                </c:pt>
                <c:pt idx="22">
                  <c:v>114</c:v>
                </c:pt>
                <c:pt idx="23">
                  <c:v>115</c:v>
                </c:pt>
                <c:pt idx="24">
                  <c:v>116</c:v>
                </c:pt>
                <c:pt idx="25">
                  <c:v>118</c:v>
                </c:pt>
                <c:pt idx="26">
                  <c:v>119</c:v>
                </c:pt>
                <c:pt idx="27">
                  <c:v>120</c:v>
                </c:pt>
                <c:pt idx="28">
                  <c:v>121</c:v>
                </c:pt>
                <c:pt idx="29">
                  <c:v>122</c:v>
                </c:pt>
                <c:pt idx="30">
                  <c:v>123</c:v>
                </c:pt>
                <c:pt idx="31">
                  <c:v>124</c:v>
                </c:pt>
                <c:pt idx="32">
                  <c:v>125</c:v>
                </c:pt>
                <c:pt idx="33">
                  <c:v>126</c:v>
                </c:pt>
                <c:pt idx="34">
                  <c:v>127</c:v>
                </c:pt>
                <c:pt idx="35">
                  <c:v>128</c:v>
                </c:pt>
                <c:pt idx="36">
                  <c:v>129</c:v>
                </c:pt>
                <c:pt idx="37">
                  <c:v>130</c:v>
                </c:pt>
              </c:numCache>
            </c:numRef>
          </c:cat>
          <c:val>
            <c:numRef>
              <c:f>Sheet1!$U$5:$U$42</c:f>
              <c:numCache>
                <c:formatCode>General</c:formatCode>
                <c:ptCount val="38"/>
                <c:pt idx="0">
                  <c:v>44.9</c:v>
                </c:pt>
                <c:pt idx="1">
                  <c:v>45.3</c:v>
                </c:pt>
                <c:pt idx="2">
                  <c:v>44.4</c:v>
                </c:pt>
                <c:pt idx="3">
                  <c:v>44</c:v>
                </c:pt>
                <c:pt idx="4">
                  <c:v>42.7</c:v>
                </c:pt>
                <c:pt idx="5">
                  <c:v>43.4</c:v>
                </c:pt>
                <c:pt idx="6">
                  <c:v>42</c:v>
                </c:pt>
                <c:pt idx="7">
                  <c:v>69.099999999999994</c:v>
                </c:pt>
                <c:pt idx="8">
                  <c:v>68.099999999999994</c:v>
                </c:pt>
                <c:pt idx="9">
                  <c:v>67</c:v>
                </c:pt>
                <c:pt idx="10">
                  <c:v>67.2</c:v>
                </c:pt>
                <c:pt idx="11">
                  <c:v>68.2</c:v>
                </c:pt>
                <c:pt idx="12">
                  <c:v>50</c:v>
                </c:pt>
                <c:pt idx="13">
                  <c:v>65.8</c:v>
                </c:pt>
                <c:pt idx="14">
                  <c:v>62.4</c:v>
                </c:pt>
                <c:pt idx="15">
                  <c:v>48.6</c:v>
                </c:pt>
                <c:pt idx="16">
                  <c:v>64.099999999999994</c:v>
                </c:pt>
                <c:pt idx="17">
                  <c:v>46.6</c:v>
                </c:pt>
                <c:pt idx="18">
                  <c:v>58.2</c:v>
                </c:pt>
                <c:pt idx="19">
                  <c:v>63.5</c:v>
                </c:pt>
                <c:pt idx="20">
                  <c:v>45.4</c:v>
                </c:pt>
                <c:pt idx="21">
                  <c:v>52</c:v>
                </c:pt>
                <c:pt idx="22">
                  <c:v>50.8</c:v>
                </c:pt>
                <c:pt idx="23">
                  <c:v>66.7</c:v>
                </c:pt>
                <c:pt idx="24">
                  <c:v>56.4</c:v>
                </c:pt>
                <c:pt idx="25">
                  <c:v>60.45</c:v>
                </c:pt>
                <c:pt idx="26">
                  <c:v>55.766666666666673</c:v>
                </c:pt>
                <c:pt idx="27">
                  <c:v>48.650000000000006</c:v>
                </c:pt>
                <c:pt idx="28">
                  <c:v>53.133333333333333</c:v>
                </c:pt>
                <c:pt idx="29">
                  <c:v>53.174999999999997</c:v>
                </c:pt>
                <c:pt idx="30">
                  <c:v>54.028571428571425</c:v>
                </c:pt>
                <c:pt idx="31">
                  <c:v>53.56</c:v>
                </c:pt>
                <c:pt idx="32">
                  <c:v>54.199999999999996</c:v>
                </c:pt>
                <c:pt idx="33">
                  <c:v>51.083333333333336</c:v>
                </c:pt>
                <c:pt idx="34">
                  <c:v>61.539999999999992</c:v>
                </c:pt>
                <c:pt idx="35">
                  <c:v>61.539999999999992</c:v>
                </c:pt>
                <c:pt idx="36">
                  <c:v>58.25555555555556</c:v>
                </c:pt>
                <c:pt idx="37">
                  <c:v>55.766666666666673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6350208"/>
        <c:axId val="356356096"/>
      </c:lineChart>
      <c:catAx>
        <c:axId val="35635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356096"/>
        <c:crosses val="autoZero"/>
        <c:auto val="1"/>
        <c:lblAlgn val="ctr"/>
        <c:lblOffset val="100"/>
        <c:noMultiLvlLbl val="0"/>
      </c:catAx>
      <c:valAx>
        <c:axId val="35635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350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577358016418166"/>
          <c:y val="0.77854133463777953"/>
          <c:w val="0.1653565988718505"/>
          <c:h val="0.164595005552190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43B8B-E66B-4B30-A032-59A0B94E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Pantelitsa</cp:lastModifiedBy>
  <cp:revision>14</cp:revision>
  <dcterms:created xsi:type="dcterms:W3CDTF">2018-10-22T22:35:00Z</dcterms:created>
  <dcterms:modified xsi:type="dcterms:W3CDTF">2018-10-23T01:49:00Z</dcterms:modified>
</cp:coreProperties>
</file>