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AA7ED" w14:textId="77777777" w:rsidR="00B22F5D" w:rsidRPr="00E40ABA" w:rsidRDefault="00000000">
      <w:pPr>
        <w:spacing w:after="80"/>
        <w:jc w:val="center"/>
        <w:rPr>
          <w:rFonts w:asciiTheme="minorHAnsi" w:hAnsiTheme="minorHAnsi" w:cstheme="minorHAnsi"/>
        </w:rPr>
      </w:pPr>
      <w:r w:rsidRPr="00E40ABA">
        <w:rPr>
          <w:rFonts w:asciiTheme="minorHAnsi" w:hAnsiTheme="minorHAnsi" w:cstheme="minorHAnsi"/>
          <w:b/>
          <w:bCs/>
          <w:color w:val="1F4E79"/>
          <w:sz w:val="40"/>
          <w:szCs w:val="40"/>
        </w:rPr>
        <w:t>Customer Segmentation &amp; Churn Pattern Analytics</w:t>
      </w:r>
    </w:p>
    <w:p w14:paraId="0EB9045F" w14:textId="77777777" w:rsidR="00B22F5D" w:rsidRPr="00E40ABA" w:rsidRDefault="00000000">
      <w:pPr>
        <w:spacing w:after="40"/>
        <w:jc w:val="center"/>
        <w:rPr>
          <w:rFonts w:asciiTheme="minorHAnsi" w:hAnsiTheme="minorHAnsi" w:cstheme="minorHAnsi"/>
        </w:rPr>
      </w:pPr>
      <w:r w:rsidRPr="00E40ABA">
        <w:rPr>
          <w:rFonts w:asciiTheme="minorHAnsi" w:hAnsiTheme="minorHAnsi" w:cstheme="minorHAnsi"/>
          <w:color w:val="444444"/>
          <w:sz w:val="26"/>
          <w:szCs w:val="26"/>
        </w:rPr>
        <w:t>European Retail Banking — France, Spain, Germany</w:t>
      </w:r>
    </w:p>
    <w:p w14:paraId="14FE85FC" w14:textId="77777777" w:rsidR="00B22F5D" w:rsidRPr="00E40ABA" w:rsidRDefault="00B22F5D">
      <w:pPr>
        <w:pBdr>
          <w:bottom w:val="single" w:sz="6" w:space="1" w:color="AAAAAA"/>
        </w:pBdr>
        <w:spacing w:after="200"/>
        <w:rPr>
          <w:rFonts w:asciiTheme="minorHAnsi" w:hAnsiTheme="minorHAnsi" w:cstheme="minorHAnsi"/>
        </w:rPr>
      </w:pPr>
    </w:p>
    <w:p w14:paraId="0366CBEC" w14:textId="77777777" w:rsidR="00B22F5D" w:rsidRPr="00E40ABA" w:rsidRDefault="00000000">
      <w:pPr>
        <w:pStyle w:val="Heading1"/>
        <w:rPr>
          <w:rFonts w:asciiTheme="minorHAnsi" w:hAnsiTheme="minorHAnsi" w:cstheme="minorHAnsi"/>
        </w:rPr>
      </w:pPr>
      <w:r w:rsidRPr="00E40ABA">
        <w:rPr>
          <w:rFonts w:asciiTheme="minorHAnsi" w:hAnsiTheme="minorHAnsi" w:cstheme="minorHAnsi"/>
        </w:rPr>
        <w:t>1. Introduction</w:t>
      </w:r>
    </w:p>
    <w:p w14:paraId="19A9D921" w14:textId="77777777" w:rsidR="00B22F5D" w:rsidRPr="00E40ABA" w:rsidRDefault="00000000">
      <w:pPr>
        <w:spacing w:after="160"/>
        <w:rPr>
          <w:rFonts w:asciiTheme="minorHAnsi" w:hAnsiTheme="minorHAnsi" w:cstheme="minorHAnsi"/>
        </w:rPr>
      </w:pPr>
      <w:r w:rsidRPr="00E40ABA">
        <w:rPr>
          <w:rFonts w:asciiTheme="minorHAnsi" w:hAnsiTheme="minorHAnsi" w:cstheme="minorHAnsi"/>
        </w:rPr>
        <w:t xml:space="preserve">Customer churn is one of the largest hidden costs in retail banking, eroding lifetime value and driving up acquisition spend. This paper </w:t>
      </w:r>
      <w:proofErr w:type="spellStart"/>
      <w:r w:rsidRPr="00E40ABA">
        <w:rPr>
          <w:rFonts w:asciiTheme="minorHAnsi" w:hAnsiTheme="minorHAnsi" w:cstheme="minorHAnsi"/>
        </w:rPr>
        <w:t>analyzes</w:t>
      </w:r>
      <w:proofErr w:type="spellEnd"/>
      <w:r w:rsidRPr="00E40ABA">
        <w:rPr>
          <w:rFonts w:asciiTheme="minorHAnsi" w:hAnsiTheme="minorHAnsi" w:cstheme="minorHAnsi"/>
        </w:rPr>
        <w:t xml:space="preserve"> a 10,000-customer dataset spanning three European markets — France, Spain, and Germany — to identify which customer segments churn most, how churn differs across geography and demographics, and what a predictive model can add on top of descriptive segmentation. The goal is a clear, evidence-based foundation for targeted retention strategy, not a generic churn-rate headline.</w:t>
      </w:r>
    </w:p>
    <w:p w14:paraId="23FB89E7" w14:textId="77777777" w:rsidR="00B22F5D" w:rsidRPr="00E40ABA" w:rsidRDefault="00000000">
      <w:pPr>
        <w:pStyle w:val="Heading1"/>
        <w:rPr>
          <w:rFonts w:asciiTheme="minorHAnsi" w:hAnsiTheme="minorHAnsi" w:cstheme="minorHAnsi"/>
        </w:rPr>
      </w:pPr>
      <w:r w:rsidRPr="00E40ABA">
        <w:rPr>
          <w:rFonts w:asciiTheme="minorHAnsi" w:hAnsiTheme="minorHAnsi" w:cstheme="minorHAnsi"/>
        </w:rPr>
        <w:t>2. Dataset Overview</w:t>
      </w:r>
    </w:p>
    <w:p w14:paraId="03E61E44" w14:textId="77777777" w:rsidR="00B22F5D" w:rsidRPr="00E40ABA" w:rsidRDefault="00000000">
      <w:pPr>
        <w:spacing w:after="160"/>
        <w:rPr>
          <w:rFonts w:asciiTheme="minorHAnsi" w:hAnsiTheme="minorHAnsi" w:cstheme="minorHAnsi"/>
        </w:rPr>
      </w:pPr>
      <w:r w:rsidRPr="00E40ABA">
        <w:rPr>
          <w:rFonts w:asciiTheme="minorHAnsi" w:hAnsiTheme="minorHAnsi" w:cstheme="minorHAnsi"/>
        </w:rPr>
        <w:t>The dataset covers 10,000 customers with no missing values and no duplicate customer records. Each customer record includes credit score, geography, gender, age, tenure with the bank, account balance, number of products held, credit card ownership, activity status, estimated salary, and a binary churn indicator (Exited).</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460"/>
      </w:tblGrid>
      <w:tr w:rsidR="00B22F5D" w:rsidRPr="00E40ABA" w14:paraId="36B678DD" w14:textId="77777777">
        <w:trPr>
          <w:tblHeader/>
        </w:trPr>
        <w:tc>
          <w:tcPr>
            <w:tcW w:w="4500" w:type="dxa"/>
            <w:shd w:val="clear" w:color="auto" w:fill="1F4E79"/>
            <w:tcMar>
              <w:top w:w="80" w:type="dxa"/>
              <w:left w:w="100" w:type="dxa"/>
              <w:bottom w:w="80" w:type="dxa"/>
              <w:right w:w="100" w:type="dxa"/>
            </w:tcMar>
          </w:tcPr>
          <w:p w14:paraId="2E23C4C9" w14:textId="77777777" w:rsidR="00B22F5D" w:rsidRPr="00E40ABA" w:rsidRDefault="00000000">
            <w:pPr>
              <w:rPr>
                <w:rFonts w:asciiTheme="minorHAnsi" w:hAnsiTheme="minorHAnsi" w:cstheme="minorHAnsi"/>
              </w:rPr>
            </w:pPr>
            <w:r w:rsidRPr="00E40ABA">
              <w:rPr>
                <w:rFonts w:asciiTheme="minorHAnsi" w:hAnsiTheme="minorHAnsi" w:cstheme="minorHAnsi"/>
                <w:b/>
                <w:bCs/>
                <w:color w:val="FFFFFF"/>
                <w:sz w:val="20"/>
                <w:szCs w:val="20"/>
              </w:rPr>
              <w:t>Metric</w:t>
            </w:r>
          </w:p>
        </w:tc>
        <w:tc>
          <w:tcPr>
            <w:tcW w:w="4460" w:type="dxa"/>
            <w:shd w:val="clear" w:color="auto" w:fill="1F4E79"/>
            <w:tcMar>
              <w:top w:w="80" w:type="dxa"/>
              <w:left w:w="100" w:type="dxa"/>
              <w:bottom w:w="80" w:type="dxa"/>
              <w:right w:w="100" w:type="dxa"/>
            </w:tcMar>
          </w:tcPr>
          <w:p w14:paraId="2D4121B2" w14:textId="77777777" w:rsidR="00B22F5D" w:rsidRPr="00E40ABA" w:rsidRDefault="00000000">
            <w:pPr>
              <w:rPr>
                <w:rFonts w:asciiTheme="minorHAnsi" w:hAnsiTheme="minorHAnsi" w:cstheme="minorHAnsi"/>
              </w:rPr>
            </w:pPr>
            <w:r w:rsidRPr="00E40ABA">
              <w:rPr>
                <w:rFonts w:asciiTheme="minorHAnsi" w:hAnsiTheme="minorHAnsi" w:cstheme="minorHAnsi"/>
                <w:b/>
                <w:bCs/>
                <w:color w:val="FFFFFF"/>
                <w:sz w:val="20"/>
                <w:szCs w:val="20"/>
              </w:rPr>
              <w:t>Value</w:t>
            </w:r>
          </w:p>
        </w:tc>
      </w:tr>
      <w:tr w:rsidR="00B22F5D" w:rsidRPr="00E40ABA" w14:paraId="19791854" w14:textId="77777777">
        <w:tc>
          <w:tcPr>
            <w:tcW w:w="4500" w:type="dxa"/>
            <w:shd w:val="clear" w:color="auto" w:fill="FFFFFF"/>
            <w:tcMar>
              <w:top w:w="80" w:type="dxa"/>
              <w:left w:w="100" w:type="dxa"/>
              <w:bottom w:w="80" w:type="dxa"/>
              <w:right w:w="100" w:type="dxa"/>
            </w:tcMar>
          </w:tcPr>
          <w:p w14:paraId="11478FE7"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Total customers</w:t>
            </w:r>
          </w:p>
        </w:tc>
        <w:tc>
          <w:tcPr>
            <w:tcW w:w="4460" w:type="dxa"/>
            <w:shd w:val="clear" w:color="auto" w:fill="FFFFFF"/>
            <w:tcMar>
              <w:top w:w="80" w:type="dxa"/>
              <w:left w:w="100" w:type="dxa"/>
              <w:bottom w:w="80" w:type="dxa"/>
              <w:right w:w="100" w:type="dxa"/>
            </w:tcMar>
          </w:tcPr>
          <w:p w14:paraId="01684DB0"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10,000</w:t>
            </w:r>
          </w:p>
        </w:tc>
      </w:tr>
      <w:tr w:rsidR="00B22F5D" w:rsidRPr="00E40ABA" w14:paraId="28BA5606" w14:textId="77777777">
        <w:tc>
          <w:tcPr>
            <w:tcW w:w="4500" w:type="dxa"/>
            <w:shd w:val="clear" w:color="auto" w:fill="DCE6F1"/>
            <w:tcMar>
              <w:top w:w="80" w:type="dxa"/>
              <w:left w:w="100" w:type="dxa"/>
              <w:bottom w:w="80" w:type="dxa"/>
              <w:right w:w="100" w:type="dxa"/>
            </w:tcMar>
          </w:tcPr>
          <w:p w14:paraId="55A71B9E"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Geographies</w:t>
            </w:r>
          </w:p>
        </w:tc>
        <w:tc>
          <w:tcPr>
            <w:tcW w:w="4460" w:type="dxa"/>
            <w:shd w:val="clear" w:color="auto" w:fill="DCE6F1"/>
            <w:tcMar>
              <w:top w:w="80" w:type="dxa"/>
              <w:left w:w="100" w:type="dxa"/>
              <w:bottom w:w="80" w:type="dxa"/>
              <w:right w:w="100" w:type="dxa"/>
            </w:tcMar>
          </w:tcPr>
          <w:p w14:paraId="06DB5E39"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France (5,014), Germany (2,509), Spain (2,477)</w:t>
            </w:r>
          </w:p>
        </w:tc>
      </w:tr>
      <w:tr w:rsidR="00B22F5D" w:rsidRPr="00E40ABA" w14:paraId="177BB233" w14:textId="77777777">
        <w:tc>
          <w:tcPr>
            <w:tcW w:w="4500" w:type="dxa"/>
            <w:shd w:val="clear" w:color="auto" w:fill="FFFFFF"/>
            <w:tcMar>
              <w:top w:w="80" w:type="dxa"/>
              <w:left w:w="100" w:type="dxa"/>
              <w:bottom w:w="80" w:type="dxa"/>
              <w:right w:w="100" w:type="dxa"/>
            </w:tcMar>
          </w:tcPr>
          <w:p w14:paraId="0F82E931"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Overall churn rate</w:t>
            </w:r>
          </w:p>
        </w:tc>
        <w:tc>
          <w:tcPr>
            <w:tcW w:w="4460" w:type="dxa"/>
            <w:shd w:val="clear" w:color="auto" w:fill="FFFFFF"/>
            <w:tcMar>
              <w:top w:w="80" w:type="dxa"/>
              <w:left w:w="100" w:type="dxa"/>
              <w:bottom w:w="80" w:type="dxa"/>
              <w:right w:w="100" w:type="dxa"/>
            </w:tcMar>
          </w:tcPr>
          <w:p w14:paraId="2C38BB71"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20.37%</w:t>
            </w:r>
          </w:p>
        </w:tc>
      </w:tr>
      <w:tr w:rsidR="00B22F5D" w:rsidRPr="00E40ABA" w14:paraId="398623B8" w14:textId="77777777">
        <w:tc>
          <w:tcPr>
            <w:tcW w:w="4500" w:type="dxa"/>
            <w:shd w:val="clear" w:color="auto" w:fill="DCE6F1"/>
            <w:tcMar>
              <w:top w:w="80" w:type="dxa"/>
              <w:left w:w="100" w:type="dxa"/>
              <w:bottom w:w="80" w:type="dxa"/>
              <w:right w:w="100" w:type="dxa"/>
            </w:tcMar>
          </w:tcPr>
          <w:p w14:paraId="7F700153"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Missing values</w:t>
            </w:r>
          </w:p>
        </w:tc>
        <w:tc>
          <w:tcPr>
            <w:tcW w:w="4460" w:type="dxa"/>
            <w:shd w:val="clear" w:color="auto" w:fill="DCE6F1"/>
            <w:tcMar>
              <w:top w:w="80" w:type="dxa"/>
              <w:left w:w="100" w:type="dxa"/>
              <w:bottom w:w="80" w:type="dxa"/>
              <w:right w:w="100" w:type="dxa"/>
            </w:tcMar>
          </w:tcPr>
          <w:p w14:paraId="06EFD334"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None</w:t>
            </w:r>
          </w:p>
        </w:tc>
      </w:tr>
      <w:tr w:rsidR="00B22F5D" w:rsidRPr="00E40ABA" w14:paraId="2EE881FA" w14:textId="77777777">
        <w:tc>
          <w:tcPr>
            <w:tcW w:w="4500" w:type="dxa"/>
            <w:shd w:val="clear" w:color="auto" w:fill="FFFFFF"/>
            <w:tcMar>
              <w:top w:w="80" w:type="dxa"/>
              <w:left w:w="100" w:type="dxa"/>
              <w:bottom w:w="80" w:type="dxa"/>
              <w:right w:w="100" w:type="dxa"/>
            </w:tcMar>
          </w:tcPr>
          <w:p w14:paraId="6A151BAA"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Duplicate customer IDs</w:t>
            </w:r>
          </w:p>
        </w:tc>
        <w:tc>
          <w:tcPr>
            <w:tcW w:w="4460" w:type="dxa"/>
            <w:shd w:val="clear" w:color="auto" w:fill="FFFFFF"/>
            <w:tcMar>
              <w:top w:w="80" w:type="dxa"/>
              <w:left w:w="100" w:type="dxa"/>
              <w:bottom w:w="80" w:type="dxa"/>
              <w:right w:w="100" w:type="dxa"/>
            </w:tcMar>
          </w:tcPr>
          <w:p w14:paraId="46D33015"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None</w:t>
            </w:r>
          </w:p>
        </w:tc>
      </w:tr>
    </w:tbl>
    <w:p w14:paraId="28CF2053" w14:textId="77777777" w:rsidR="00B22F5D" w:rsidRPr="00E40ABA" w:rsidRDefault="00B22F5D">
      <w:pPr>
        <w:spacing w:after="160"/>
        <w:rPr>
          <w:rFonts w:asciiTheme="minorHAnsi" w:hAnsiTheme="minorHAnsi" w:cstheme="minorHAnsi"/>
        </w:rPr>
      </w:pPr>
    </w:p>
    <w:p w14:paraId="2D17D516" w14:textId="77777777" w:rsidR="00B22F5D" w:rsidRPr="00E40ABA" w:rsidRDefault="00000000">
      <w:pPr>
        <w:spacing w:after="160"/>
        <w:rPr>
          <w:rFonts w:asciiTheme="minorHAnsi" w:hAnsiTheme="minorHAnsi" w:cstheme="minorHAnsi"/>
        </w:rPr>
      </w:pPr>
      <w:r w:rsidRPr="00E40ABA">
        <w:rPr>
          <w:rFonts w:asciiTheme="minorHAnsi" w:hAnsiTheme="minorHAnsi" w:cstheme="minorHAnsi"/>
        </w:rPr>
        <w:t>Five segmentation dimensions were constructed for the analysis: geography (as recorded), age bands (&lt;30, 30–45, 46–60, 60+), credit score bands (Low &lt;580, Medium 580–700, High &gt;700), tenure groups (New 0–2 yrs, Mid-term 3–6 yrs, Long-term 7+ yrs), and balance segments (zero-balance, low-balance &lt;100K, high-balance ≥100K).</w:t>
      </w:r>
    </w:p>
    <w:p w14:paraId="06568B08" w14:textId="77777777" w:rsidR="00B22F5D" w:rsidRPr="00E40ABA" w:rsidRDefault="00000000">
      <w:pPr>
        <w:pStyle w:val="Heading1"/>
        <w:rPr>
          <w:rFonts w:asciiTheme="minorHAnsi" w:hAnsiTheme="minorHAnsi" w:cstheme="minorHAnsi"/>
        </w:rPr>
      </w:pPr>
      <w:r w:rsidRPr="00E40ABA">
        <w:rPr>
          <w:rFonts w:asciiTheme="minorHAnsi" w:hAnsiTheme="minorHAnsi" w:cstheme="minorHAnsi"/>
        </w:rPr>
        <w:t>3. Exploratory Data Analysis &amp; Segmentation Findings</w:t>
      </w:r>
    </w:p>
    <w:p w14:paraId="412063CF" w14:textId="77777777" w:rsidR="00B22F5D" w:rsidRPr="00E40ABA" w:rsidRDefault="00000000">
      <w:pPr>
        <w:spacing w:after="160"/>
        <w:rPr>
          <w:rFonts w:asciiTheme="minorHAnsi" w:hAnsiTheme="minorHAnsi" w:cstheme="minorHAnsi"/>
        </w:rPr>
      </w:pPr>
      <w:r w:rsidRPr="00E40ABA">
        <w:rPr>
          <w:rFonts w:asciiTheme="minorHAnsi" w:hAnsiTheme="minorHAnsi" w:cstheme="minorHAnsi"/>
        </w:rPr>
        <w:t>Churn rates vary sharply across every segmentation dimension tested, confirming that a single overall churn figure conceals substantial structure in the customer base.</w:t>
      </w:r>
    </w:p>
    <w:p w14:paraId="12A1D4FE" w14:textId="77777777" w:rsidR="00B22F5D" w:rsidRPr="00E40ABA" w:rsidRDefault="00000000">
      <w:pPr>
        <w:spacing w:after="80"/>
        <w:jc w:val="center"/>
        <w:rPr>
          <w:rFonts w:asciiTheme="minorHAnsi" w:hAnsiTheme="minorHAnsi" w:cstheme="minorHAnsi"/>
        </w:rPr>
      </w:pPr>
      <w:r w:rsidRPr="00E40ABA">
        <w:rPr>
          <w:rFonts w:asciiTheme="minorHAnsi" w:hAnsiTheme="minorHAnsi" w:cstheme="minorHAnsi"/>
          <w:noProof/>
        </w:rPr>
        <w:lastRenderedPageBreak/>
        <w:drawing>
          <wp:inline distT="0" distB="0" distL="0" distR="0" wp14:anchorId="6C372D94" wp14:editId="1BDC72E4">
            <wp:extent cx="5334000" cy="2984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984355"/>
                    </a:xfrm>
                    <a:prstGeom prst="rect">
                      <a:avLst/>
                    </a:prstGeom>
                  </pic:spPr>
                </pic:pic>
              </a:graphicData>
            </a:graphic>
          </wp:inline>
        </w:drawing>
      </w:r>
    </w:p>
    <w:p w14:paraId="6574D11D" w14:textId="77777777" w:rsidR="00B22F5D" w:rsidRPr="00E40ABA" w:rsidRDefault="00000000">
      <w:pPr>
        <w:spacing w:after="260"/>
        <w:jc w:val="center"/>
        <w:rPr>
          <w:rFonts w:asciiTheme="minorHAnsi" w:hAnsiTheme="minorHAnsi" w:cstheme="minorHAnsi"/>
        </w:rPr>
      </w:pPr>
      <w:r w:rsidRPr="00E40ABA">
        <w:rPr>
          <w:rFonts w:asciiTheme="minorHAnsi" w:hAnsiTheme="minorHAnsi" w:cstheme="minorHAnsi"/>
          <w:i/>
          <w:iCs/>
          <w:color w:val="555555"/>
          <w:sz w:val="19"/>
          <w:szCs w:val="19"/>
        </w:rPr>
        <w:t>Figure 1. Churn rate by geography, age group, credit score band, tenure group, balance segment, and (implicitly) the overall rate shown as a dashed reference line.</w:t>
      </w:r>
    </w:p>
    <w:p w14:paraId="4D873241" w14:textId="77777777" w:rsidR="00B22F5D" w:rsidRPr="00E40ABA" w:rsidRDefault="00000000">
      <w:pPr>
        <w:pStyle w:val="Heading2"/>
        <w:rPr>
          <w:rFonts w:asciiTheme="minorHAnsi" w:hAnsiTheme="minorHAnsi" w:cstheme="minorHAnsi"/>
        </w:rPr>
      </w:pPr>
      <w:r w:rsidRPr="00E40ABA">
        <w:rPr>
          <w:rFonts w:asciiTheme="minorHAnsi" w:hAnsiTheme="minorHAnsi" w:cstheme="minorHAnsi"/>
        </w:rPr>
        <w:t>3.1 Geography</w:t>
      </w:r>
    </w:p>
    <w:p w14:paraId="569FD6F5" w14:textId="77777777" w:rsidR="00B22F5D" w:rsidRPr="00E40ABA" w:rsidRDefault="00000000">
      <w:pPr>
        <w:spacing w:after="160"/>
        <w:rPr>
          <w:rFonts w:asciiTheme="minorHAnsi" w:hAnsiTheme="minorHAnsi" w:cstheme="minorHAnsi"/>
        </w:rPr>
      </w:pPr>
      <w:r w:rsidRPr="00E40ABA">
        <w:rPr>
          <w:rFonts w:asciiTheme="minorHAnsi" w:hAnsiTheme="minorHAnsi" w:cstheme="minorHAnsi"/>
        </w:rPr>
        <w:t>Germany stands out as the highest-risk market at 32.4% churn — roughly double France (16.2%) and Spain (16.7%). Since Germany holds only about a quarter of the customer base, this concentration of risk in a single market is a clear priority signal rather than a marginal effect.</w:t>
      </w:r>
    </w:p>
    <w:p w14:paraId="4D064BB2" w14:textId="77777777" w:rsidR="00B22F5D" w:rsidRPr="00E40ABA" w:rsidRDefault="00000000">
      <w:pPr>
        <w:pStyle w:val="Heading2"/>
        <w:rPr>
          <w:rFonts w:asciiTheme="minorHAnsi" w:hAnsiTheme="minorHAnsi" w:cstheme="minorHAnsi"/>
        </w:rPr>
      </w:pPr>
      <w:r w:rsidRPr="00E40ABA">
        <w:rPr>
          <w:rFonts w:asciiTheme="minorHAnsi" w:hAnsiTheme="minorHAnsi" w:cstheme="minorHAnsi"/>
        </w:rPr>
        <w:t>3.2 Age</w:t>
      </w:r>
    </w:p>
    <w:p w14:paraId="0592CB93" w14:textId="77777777" w:rsidR="00B22F5D" w:rsidRPr="00E40ABA" w:rsidRDefault="00000000">
      <w:pPr>
        <w:spacing w:after="160"/>
        <w:rPr>
          <w:rFonts w:asciiTheme="minorHAnsi" w:hAnsiTheme="minorHAnsi" w:cstheme="minorHAnsi"/>
        </w:rPr>
      </w:pPr>
      <w:r w:rsidRPr="00E40ABA">
        <w:rPr>
          <w:rFonts w:asciiTheme="minorHAnsi" w:hAnsiTheme="minorHAnsi" w:cstheme="minorHAnsi"/>
        </w:rPr>
        <w:t xml:space="preserve">The 46–60 age band churns at 51.1%, far above every other age group (customers under 30 </w:t>
      </w:r>
      <w:proofErr w:type="gramStart"/>
      <w:r w:rsidRPr="00E40ABA">
        <w:rPr>
          <w:rFonts w:asciiTheme="minorHAnsi" w:hAnsiTheme="minorHAnsi" w:cstheme="minorHAnsi"/>
        </w:rPr>
        <w:t>churn</w:t>
      </w:r>
      <w:proofErr w:type="gramEnd"/>
      <w:r w:rsidRPr="00E40ABA">
        <w:rPr>
          <w:rFonts w:asciiTheme="minorHAnsi" w:hAnsiTheme="minorHAnsi" w:cstheme="minorHAnsi"/>
        </w:rPr>
        <w:t xml:space="preserve"> at just 7.5%). This is the single sharpest split in the dataset and warrants dedicated investigation into what is driving mid-to-late-career customers away — whether product fit, competing offers, or life-stage financial changes.</w:t>
      </w:r>
    </w:p>
    <w:p w14:paraId="6B988D0F" w14:textId="77777777" w:rsidR="00B22F5D" w:rsidRPr="00E40ABA" w:rsidRDefault="00000000">
      <w:pPr>
        <w:pStyle w:val="Heading2"/>
        <w:rPr>
          <w:rFonts w:asciiTheme="minorHAnsi" w:hAnsiTheme="minorHAnsi" w:cstheme="minorHAnsi"/>
        </w:rPr>
      </w:pPr>
      <w:r w:rsidRPr="00E40ABA">
        <w:rPr>
          <w:rFonts w:asciiTheme="minorHAnsi" w:hAnsiTheme="minorHAnsi" w:cstheme="minorHAnsi"/>
        </w:rPr>
        <w:t>3.3 Gender</w:t>
      </w:r>
    </w:p>
    <w:p w14:paraId="56685D4D" w14:textId="77777777" w:rsidR="00B22F5D" w:rsidRPr="00E40ABA" w:rsidRDefault="00000000">
      <w:pPr>
        <w:spacing w:after="160"/>
        <w:rPr>
          <w:rFonts w:asciiTheme="minorHAnsi" w:hAnsiTheme="minorHAnsi" w:cstheme="minorHAnsi"/>
        </w:rPr>
      </w:pPr>
      <w:r w:rsidRPr="00E40ABA">
        <w:rPr>
          <w:rFonts w:asciiTheme="minorHAnsi" w:hAnsiTheme="minorHAnsi" w:cstheme="minorHAnsi"/>
        </w:rPr>
        <w:t>Female customers churn at 25.1% versus 16.5% for male customers, an 8.6 percentage-point gap that persists across the segmentation and is worth incorporating into targeted retention messaging and outreach design.</w:t>
      </w:r>
    </w:p>
    <w:p w14:paraId="7CD03FB1" w14:textId="77777777" w:rsidR="00B22F5D" w:rsidRPr="00E40ABA" w:rsidRDefault="00000000">
      <w:pPr>
        <w:pStyle w:val="Heading2"/>
        <w:rPr>
          <w:rFonts w:asciiTheme="minorHAnsi" w:hAnsiTheme="minorHAnsi" w:cstheme="minorHAnsi"/>
        </w:rPr>
      </w:pPr>
      <w:r w:rsidRPr="00E40ABA">
        <w:rPr>
          <w:rFonts w:asciiTheme="minorHAnsi" w:hAnsiTheme="minorHAnsi" w:cstheme="minorHAnsi"/>
        </w:rPr>
        <w:t>3.4 Engagement (Activity Status)</w:t>
      </w:r>
    </w:p>
    <w:p w14:paraId="5C2858A5" w14:textId="77777777" w:rsidR="00B22F5D" w:rsidRPr="00E40ABA" w:rsidRDefault="00000000">
      <w:pPr>
        <w:spacing w:after="160"/>
        <w:rPr>
          <w:rFonts w:asciiTheme="minorHAnsi" w:hAnsiTheme="minorHAnsi" w:cstheme="minorHAnsi"/>
        </w:rPr>
      </w:pPr>
      <w:r w:rsidRPr="00E40ABA">
        <w:rPr>
          <w:rFonts w:asciiTheme="minorHAnsi" w:hAnsiTheme="minorHAnsi" w:cstheme="minorHAnsi"/>
        </w:rPr>
        <w:t xml:space="preserve">Inactive members churn at 26.9% compared with 14.3% for active members — a 12.6 percentage-point engagement drop indicator. This is one of the more actionable findings: activity status is directly observable and </w:t>
      </w:r>
      <w:proofErr w:type="spellStart"/>
      <w:r w:rsidRPr="00E40ABA">
        <w:rPr>
          <w:rFonts w:asciiTheme="minorHAnsi" w:hAnsiTheme="minorHAnsi" w:cstheme="minorHAnsi"/>
        </w:rPr>
        <w:t>interventable</w:t>
      </w:r>
      <w:proofErr w:type="spellEnd"/>
      <w:r w:rsidRPr="00E40ABA">
        <w:rPr>
          <w:rFonts w:asciiTheme="minorHAnsi" w:hAnsiTheme="minorHAnsi" w:cstheme="minorHAnsi"/>
        </w:rPr>
        <w:t xml:space="preserve"> (e.g. via re-engagement campaigns) ahead of a churn event.</w:t>
      </w:r>
    </w:p>
    <w:p w14:paraId="12DD88C9" w14:textId="77777777" w:rsidR="00B22F5D" w:rsidRPr="00E40ABA" w:rsidRDefault="00000000">
      <w:pPr>
        <w:pStyle w:val="Heading2"/>
        <w:rPr>
          <w:rFonts w:asciiTheme="minorHAnsi" w:hAnsiTheme="minorHAnsi" w:cstheme="minorHAnsi"/>
        </w:rPr>
      </w:pPr>
      <w:r w:rsidRPr="00E40ABA">
        <w:rPr>
          <w:rFonts w:asciiTheme="minorHAnsi" w:hAnsiTheme="minorHAnsi" w:cstheme="minorHAnsi"/>
        </w:rPr>
        <w:t>3.5 Product Holdings</w:t>
      </w:r>
    </w:p>
    <w:p w14:paraId="57D54E80" w14:textId="77777777" w:rsidR="00B22F5D" w:rsidRPr="00E40ABA" w:rsidRDefault="00000000">
      <w:pPr>
        <w:spacing w:after="160"/>
        <w:rPr>
          <w:rFonts w:asciiTheme="minorHAnsi" w:hAnsiTheme="minorHAnsi" w:cstheme="minorHAnsi"/>
        </w:rPr>
      </w:pPr>
      <w:r w:rsidRPr="00E40ABA">
        <w:rPr>
          <w:rFonts w:asciiTheme="minorHAnsi" w:hAnsiTheme="minorHAnsi" w:cstheme="minorHAnsi"/>
        </w:rPr>
        <w:t xml:space="preserve">Number of products shows the sharpest non-linear pattern in the dataset. Customers with 2 products </w:t>
      </w:r>
      <w:proofErr w:type="gramStart"/>
      <w:r w:rsidRPr="00E40ABA">
        <w:rPr>
          <w:rFonts w:asciiTheme="minorHAnsi" w:hAnsiTheme="minorHAnsi" w:cstheme="minorHAnsi"/>
        </w:rPr>
        <w:t>churn</w:t>
      </w:r>
      <w:proofErr w:type="gramEnd"/>
      <w:r w:rsidRPr="00E40ABA">
        <w:rPr>
          <w:rFonts w:asciiTheme="minorHAnsi" w:hAnsiTheme="minorHAnsi" w:cstheme="minorHAnsi"/>
        </w:rPr>
        <w:t xml:space="preserve"> at just 7.6%, while those with 3 or 4 products </w:t>
      </w:r>
      <w:proofErr w:type="gramStart"/>
      <w:r w:rsidRPr="00E40ABA">
        <w:rPr>
          <w:rFonts w:asciiTheme="minorHAnsi" w:hAnsiTheme="minorHAnsi" w:cstheme="minorHAnsi"/>
        </w:rPr>
        <w:t>churn</w:t>
      </w:r>
      <w:proofErr w:type="gramEnd"/>
      <w:r w:rsidRPr="00E40ABA">
        <w:rPr>
          <w:rFonts w:asciiTheme="minorHAnsi" w:hAnsiTheme="minorHAnsi" w:cstheme="minorHAnsi"/>
        </w:rPr>
        <w:t xml:space="preserve"> at 82.7% and 100% respectively (a small subgroup of 326 customers combined, but an extremely strong signal). This likely reflects a segment that was over-sold products, encountered service friction, or represents customers already in the process of leaving. It deserves investigation as a distinct, high-urgency segment rather than being averaged away.</w:t>
      </w:r>
    </w:p>
    <w:p w14:paraId="2D316948" w14:textId="77777777" w:rsidR="00B22F5D" w:rsidRPr="00E40ABA" w:rsidRDefault="00000000">
      <w:pPr>
        <w:pStyle w:val="Heading2"/>
        <w:rPr>
          <w:rFonts w:asciiTheme="minorHAnsi" w:hAnsiTheme="minorHAnsi" w:cstheme="minorHAnsi"/>
        </w:rPr>
      </w:pPr>
      <w:r w:rsidRPr="00E40ABA">
        <w:rPr>
          <w:rFonts w:asciiTheme="minorHAnsi" w:hAnsiTheme="minorHAnsi" w:cstheme="minorHAnsi"/>
        </w:rPr>
        <w:t>3.6 Geography × Age Interaction</w:t>
      </w:r>
    </w:p>
    <w:p w14:paraId="5BA0AE65" w14:textId="77777777" w:rsidR="00B22F5D" w:rsidRPr="00E40ABA" w:rsidRDefault="00000000">
      <w:pPr>
        <w:spacing w:after="80"/>
        <w:jc w:val="center"/>
        <w:rPr>
          <w:rFonts w:asciiTheme="minorHAnsi" w:hAnsiTheme="minorHAnsi" w:cstheme="minorHAnsi"/>
        </w:rPr>
      </w:pPr>
      <w:r w:rsidRPr="00E40ABA">
        <w:rPr>
          <w:rFonts w:asciiTheme="minorHAnsi" w:hAnsiTheme="minorHAnsi" w:cstheme="minorHAnsi"/>
          <w:noProof/>
        </w:rPr>
        <w:lastRenderedPageBreak/>
        <w:drawing>
          <wp:inline distT="0" distB="0" distL="0" distR="0" wp14:anchorId="73304C7F" wp14:editId="1EF3A2C5">
            <wp:extent cx="4572000" cy="2660573"/>
            <wp:effectExtent l="0" t="0" r="0" b="0"/>
            <wp:docPr id="481698611" name="Picture 48169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660573"/>
                    </a:xfrm>
                    <a:prstGeom prst="rect">
                      <a:avLst/>
                    </a:prstGeom>
                  </pic:spPr>
                </pic:pic>
              </a:graphicData>
            </a:graphic>
          </wp:inline>
        </w:drawing>
      </w:r>
    </w:p>
    <w:p w14:paraId="3E4F3E38" w14:textId="77777777" w:rsidR="00B22F5D" w:rsidRPr="00E40ABA" w:rsidRDefault="00000000">
      <w:pPr>
        <w:spacing w:after="260"/>
        <w:jc w:val="center"/>
        <w:rPr>
          <w:rFonts w:asciiTheme="minorHAnsi" w:hAnsiTheme="minorHAnsi" w:cstheme="minorHAnsi"/>
        </w:rPr>
      </w:pPr>
      <w:r w:rsidRPr="00E40ABA">
        <w:rPr>
          <w:rFonts w:asciiTheme="minorHAnsi" w:hAnsiTheme="minorHAnsi" w:cstheme="minorHAnsi"/>
          <w:i/>
          <w:iCs/>
          <w:color w:val="555555"/>
          <w:sz w:val="19"/>
          <w:szCs w:val="19"/>
        </w:rPr>
        <w:t>Figure 2. Churn rate heatmap — Geography × Age Group. Germany's risk is elevated across every age band, and the 46–60 spike compounds within it.</w:t>
      </w:r>
    </w:p>
    <w:p w14:paraId="0112C8E8" w14:textId="77777777" w:rsidR="00B22F5D" w:rsidRPr="00E40ABA" w:rsidRDefault="00000000">
      <w:pPr>
        <w:spacing w:after="160"/>
        <w:rPr>
          <w:rFonts w:asciiTheme="minorHAnsi" w:hAnsiTheme="minorHAnsi" w:cstheme="minorHAnsi"/>
        </w:rPr>
      </w:pPr>
      <w:r w:rsidRPr="00E40ABA">
        <w:rPr>
          <w:rFonts w:asciiTheme="minorHAnsi" w:hAnsiTheme="minorHAnsi" w:cstheme="minorHAnsi"/>
        </w:rPr>
        <w:t>The interaction view confirms that Germany's elevated churn is not concentrated in one age group — it runs across the board — while the 46–60 age spike is itself present in every geography. The two effects compound rather than substitute for each other: German customers aged 46–60 churn at 67.3%, the single highest-risk cell in the entire dataset, nearly seven times the churn rate of under-30 customers in France (4.9%). Germany-focused retention work and age-focused retention work therefore address different, additive risk sources rather than the same underlying problem, and the Germany × 46-60 segment specifically warrants the most urgent attention.</w:t>
      </w:r>
    </w:p>
    <w:p w14:paraId="48B22899" w14:textId="77777777" w:rsidR="00B22F5D" w:rsidRPr="00E40ABA" w:rsidRDefault="00000000">
      <w:pPr>
        <w:rPr>
          <w:rFonts w:asciiTheme="minorHAnsi" w:hAnsiTheme="minorHAnsi" w:cstheme="minorHAnsi"/>
        </w:rPr>
      </w:pPr>
      <w:r w:rsidRPr="00E40ABA">
        <w:rPr>
          <w:rFonts w:asciiTheme="minorHAnsi" w:hAnsiTheme="minorHAnsi" w:cstheme="minorHAnsi"/>
        </w:rPr>
        <w:br w:type="page"/>
      </w:r>
    </w:p>
    <w:p w14:paraId="75CC57E3" w14:textId="77777777" w:rsidR="00B22F5D" w:rsidRPr="00E40ABA" w:rsidRDefault="00000000">
      <w:pPr>
        <w:pStyle w:val="Heading1"/>
        <w:rPr>
          <w:rFonts w:asciiTheme="minorHAnsi" w:hAnsiTheme="minorHAnsi" w:cstheme="minorHAnsi"/>
        </w:rPr>
      </w:pPr>
      <w:r w:rsidRPr="00E40ABA">
        <w:rPr>
          <w:rFonts w:asciiTheme="minorHAnsi" w:hAnsiTheme="minorHAnsi" w:cstheme="minorHAnsi"/>
        </w:rPr>
        <w:lastRenderedPageBreak/>
        <w:t>4. High-Value Customer &amp; Revenue Risk Analysis</w:t>
      </w:r>
    </w:p>
    <w:p w14:paraId="3B5490C2" w14:textId="77777777" w:rsidR="00B22F5D" w:rsidRPr="00E40ABA" w:rsidRDefault="00000000">
      <w:pPr>
        <w:spacing w:after="160"/>
        <w:rPr>
          <w:rFonts w:asciiTheme="minorHAnsi" w:hAnsiTheme="minorHAnsi" w:cstheme="minorHAnsi"/>
        </w:rPr>
      </w:pPr>
      <w:r w:rsidRPr="00E40ABA">
        <w:rPr>
          <w:rFonts w:asciiTheme="minorHAnsi" w:hAnsiTheme="minorHAnsi" w:cstheme="minorHAnsi"/>
        </w:rPr>
        <w:t>High-value customers are defined as those in the top quartile by account balance or by estimated salary (computed on the full customer base). This group churns at 22.3% — modestly above the 20.37% overall rate — but because it is a large segment, high-value customers make up 47.6% of all churners. Put differently: nearly half of the revenue-relevant churn in this bank is concentrated among its highest-value customers, making this the single most consequential segment for retention economics.</w:t>
      </w:r>
    </w:p>
    <w:p w14:paraId="36422E88" w14:textId="77777777" w:rsidR="00B22F5D" w:rsidRPr="00E40ABA" w:rsidRDefault="00000000">
      <w:pPr>
        <w:spacing w:after="80"/>
        <w:jc w:val="center"/>
        <w:rPr>
          <w:rFonts w:asciiTheme="minorHAnsi" w:hAnsiTheme="minorHAnsi" w:cstheme="minorHAnsi"/>
        </w:rPr>
      </w:pPr>
      <w:r w:rsidRPr="00E40ABA">
        <w:rPr>
          <w:rFonts w:asciiTheme="minorHAnsi" w:hAnsiTheme="minorHAnsi" w:cstheme="minorHAnsi"/>
          <w:noProof/>
        </w:rPr>
        <w:drawing>
          <wp:inline distT="0" distB="0" distL="0" distR="0" wp14:anchorId="03B81226" wp14:editId="479CE038">
            <wp:extent cx="4000500" cy="2843156"/>
            <wp:effectExtent l="0" t="0" r="0" b="0"/>
            <wp:docPr id="930424680" name="Picture 930424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843156"/>
                    </a:xfrm>
                    <a:prstGeom prst="rect">
                      <a:avLst/>
                    </a:prstGeom>
                  </pic:spPr>
                </pic:pic>
              </a:graphicData>
            </a:graphic>
          </wp:inline>
        </w:drawing>
      </w:r>
    </w:p>
    <w:p w14:paraId="23FFD8E5" w14:textId="77777777" w:rsidR="00B22F5D" w:rsidRPr="00E40ABA" w:rsidRDefault="00000000">
      <w:pPr>
        <w:spacing w:after="260"/>
        <w:jc w:val="center"/>
        <w:rPr>
          <w:rFonts w:asciiTheme="minorHAnsi" w:hAnsiTheme="minorHAnsi" w:cstheme="minorHAnsi"/>
        </w:rPr>
      </w:pPr>
      <w:r w:rsidRPr="00E40ABA">
        <w:rPr>
          <w:rFonts w:asciiTheme="minorHAnsi" w:hAnsiTheme="minorHAnsi" w:cstheme="minorHAnsi"/>
          <w:i/>
          <w:iCs/>
          <w:color w:val="555555"/>
          <w:sz w:val="19"/>
          <w:szCs w:val="19"/>
        </w:rPr>
        <w:t>Figure 3. Estimated salary vs. account balance, retained (blue) vs. churned (red) customers. Churn is distributed across the balance/salary space rather than confined to one corner, indicating financial profile alone is not a strong discriminator without combining it with engagement and product-count signals.</w:t>
      </w:r>
    </w:p>
    <w:p w14:paraId="29309997" w14:textId="77777777" w:rsidR="00B22F5D" w:rsidRPr="00E40ABA" w:rsidRDefault="00000000">
      <w:pPr>
        <w:spacing w:after="160"/>
        <w:rPr>
          <w:rFonts w:asciiTheme="minorHAnsi" w:hAnsiTheme="minorHAnsi" w:cstheme="minorHAnsi"/>
        </w:rPr>
      </w:pPr>
      <w:r w:rsidRPr="00E40ABA">
        <w:rPr>
          <w:rFonts w:asciiTheme="minorHAnsi" w:hAnsiTheme="minorHAnsi" w:cstheme="minorHAnsi"/>
        </w:rPr>
        <w:t>This finding reframes the retention priority: rather than treating churn as a uniform 20% leakage problem, the highest-leverage intervention point is proactively identifying at-risk high-value customers before they exit, since losing them carries disproportionate balance and revenue impact relative to their share of the customer base.</w:t>
      </w:r>
    </w:p>
    <w:p w14:paraId="48810BDF" w14:textId="77777777" w:rsidR="00B22F5D" w:rsidRPr="00E40ABA" w:rsidRDefault="00000000">
      <w:pPr>
        <w:pStyle w:val="Heading1"/>
        <w:rPr>
          <w:rFonts w:asciiTheme="minorHAnsi" w:hAnsiTheme="minorHAnsi" w:cstheme="minorHAnsi"/>
        </w:rPr>
      </w:pPr>
      <w:r w:rsidRPr="00E40ABA">
        <w:rPr>
          <w:rFonts w:asciiTheme="minorHAnsi" w:hAnsiTheme="minorHAnsi" w:cstheme="minorHAnsi"/>
        </w:rPr>
        <w:t xml:space="preserve">5. Churn Prediction </w:t>
      </w:r>
      <w:proofErr w:type="spellStart"/>
      <w:r w:rsidRPr="00E40ABA">
        <w:rPr>
          <w:rFonts w:asciiTheme="minorHAnsi" w:hAnsiTheme="minorHAnsi" w:cstheme="minorHAnsi"/>
        </w:rPr>
        <w:t>Modeling</w:t>
      </w:r>
      <w:proofErr w:type="spellEnd"/>
    </w:p>
    <w:p w14:paraId="19B157EF" w14:textId="77777777" w:rsidR="00B22F5D" w:rsidRPr="00E40ABA" w:rsidRDefault="00000000">
      <w:pPr>
        <w:spacing w:after="160"/>
        <w:rPr>
          <w:rFonts w:asciiTheme="minorHAnsi" w:hAnsiTheme="minorHAnsi" w:cstheme="minorHAnsi"/>
        </w:rPr>
      </w:pPr>
      <w:r w:rsidRPr="00E40ABA">
        <w:rPr>
          <w:rFonts w:asciiTheme="minorHAnsi" w:hAnsiTheme="minorHAnsi" w:cstheme="minorHAnsi"/>
        </w:rPr>
        <w:t>Beyond descriptive segmentation, a supervised classification model was built to score each customer's individual churn probability, enabling proactive rather than purely reactive retention targeting.</w:t>
      </w:r>
    </w:p>
    <w:p w14:paraId="43873135" w14:textId="77777777" w:rsidR="00B22F5D" w:rsidRPr="00E40ABA" w:rsidRDefault="00000000">
      <w:pPr>
        <w:pStyle w:val="Heading2"/>
        <w:rPr>
          <w:rFonts w:asciiTheme="minorHAnsi" w:hAnsiTheme="minorHAnsi" w:cstheme="minorHAnsi"/>
        </w:rPr>
      </w:pPr>
      <w:r w:rsidRPr="00E40ABA">
        <w:rPr>
          <w:rFonts w:asciiTheme="minorHAnsi" w:hAnsiTheme="minorHAnsi" w:cstheme="minorHAnsi"/>
        </w:rPr>
        <w:t>5.1 Baseline Model Comparison</w:t>
      </w:r>
    </w:p>
    <w:p w14:paraId="34779FBD" w14:textId="77777777" w:rsidR="00B22F5D" w:rsidRPr="00E40ABA" w:rsidRDefault="00000000">
      <w:pPr>
        <w:spacing w:after="160"/>
        <w:rPr>
          <w:rFonts w:asciiTheme="minorHAnsi" w:hAnsiTheme="minorHAnsi" w:cstheme="minorHAnsi"/>
        </w:rPr>
      </w:pPr>
      <w:r w:rsidRPr="00E40ABA">
        <w:rPr>
          <w:rFonts w:asciiTheme="minorHAnsi" w:hAnsiTheme="minorHAnsi" w:cstheme="minorHAnsi"/>
        </w:rPr>
        <w:t xml:space="preserve">Six model families were trained and compared on a held-out 20% test set, all using class-balanced weighting to account for the ~20% churn base rate: Logistic Regression, Decision Tree, Random Forest, Gradient Boosting, </w:t>
      </w:r>
      <w:proofErr w:type="spellStart"/>
      <w:r w:rsidRPr="00E40ABA">
        <w:rPr>
          <w:rFonts w:asciiTheme="minorHAnsi" w:hAnsiTheme="minorHAnsi" w:cstheme="minorHAnsi"/>
        </w:rPr>
        <w:t>XGBoost</w:t>
      </w:r>
      <w:proofErr w:type="spellEnd"/>
      <w:r w:rsidRPr="00E40ABA">
        <w:rPr>
          <w:rFonts w:asciiTheme="minorHAnsi" w:hAnsiTheme="minorHAnsi" w:cstheme="minorHAnsi"/>
        </w:rPr>
        <w:t>, and SVM (RBF kernel).</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1300"/>
        <w:gridCol w:w="1200"/>
        <w:gridCol w:w="1100"/>
        <w:gridCol w:w="1160"/>
      </w:tblGrid>
      <w:tr w:rsidR="00B22F5D" w:rsidRPr="00E40ABA" w14:paraId="628ECCE7" w14:textId="77777777">
        <w:trPr>
          <w:tblHeader/>
        </w:trPr>
        <w:tc>
          <w:tcPr>
            <w:tcW w:w="2400" w:type="dxa"/>
            <w:shd w:val="clear" w:color="auto" w:fill="1F4E79"/>
            <w:tcMar>
              <w:top w:w="80" w:type="dxa"/>
              <w:left w:w="100" w:type="dxa"/>
              <w:bottom w:w="80" w:type="dxa"/>
              <w:right w:w="100" w:type="dxa"/>
            </w:tcMar>
          </w:tcPr>
          <w:p w14:paraId="6C37D532" w14:textId="77777777" w:rsidR="00B22F5D" w:rsidRPr="00E40ABA" w:rsidRDefault="00000000">
            <w:pPr>
              <w:rPr>
                <w:rFonts w:asciiTheme="minorHAnsi" w:hAnsiTheme="minorHAnsi" w:cstheme="minorHAnsi"/>
              </w:rPr>
            </w:pPr>
            <w:r w:rsidRPr="00E40ABA">
              <w:rPr>
                <w:rFonts w:asciiTheme="minorHAnsi" w:hAnsiTheme="minorHAnsi" w:cstheme="minorHAnsi"/>
                <w:b/>
                <w:bCs/>
                <w:color w:val="FFFFFF"/>
                <w:sz w:val="20"/>
                <w:szCs w:val="20"/>
              </w:rPr>
              <w:t>Model</w:t>
            </w:r>
          </w:p>
        </w:tc>
        <w:tc>
          <w:tcPr>
            <w:tcW w:w="1300" w:type="dxa"/>
            <w:shd w:val="clear" w:color="auto" w:fill="1F4E79"/>
            <w:tcMar>
              <w:top w:w="80" w:type="dxa"/>
              <w:left w:w="100" w:type="dxa"/>
              <w:bottom w:w="80" w:type="dxa"/>
              <w:right w:w="100" w:type="dxa"/>
            </w:tcMar>
          </w:tcPr>
          <w:p w14:paraId="34FAE091" w14:textId="77777777" w:rsidR="00B22F5D" w:rsidRPr="00E40ABA" w:rsidRDefault="00000000">
            <w:pPr>
              <w:rPr>
                <w:rFonts w:asciiTheme="minorHAnsi" w:hAnsiTheme="minorHAnsi" w:cstheme="minorHAnsi"/>
              </w:rPr>
            </w:pPr>
            <w:r w:rsidRPr="00E40ABA">
              <w:rPr>
                <w:rFonts w:asciiTheme="minorHAnsi" w:hAnsiTheme="minorHAnsi" w:cstheme="minorHAnsi"/>
                <w:b/>
                <w:bCs/>
                <w:color w:val="FFFFFF"/>
                <w:sz w:val="20"/>
                <w:szCs w:val="20"/>
              </w:rPr>
              <w:t>Accuracy</w:t>
            </w:r>
          </w:p>
        </w:tc>
        <w:tc>
          <w:tcPr>
            <w:tcW w:w="1300" w:type="dxa"/>
            <w:shd w:val="clear" w:color="auto" w:fill="1F4E79"/>
            <w:tcMar>
              <w:top w:w="80" w:type="dxa"/>
              <w:left w:w="100" w:type="dxa"/>
              <w:bottom w:w="80" w:type="dxa"/>
              <w:right w:w="100" w:type="dxa"/>
            </w:tcMar>
          </w:tcPr>
          <w:p w14:paraId="1785E8D4" w14:textId="77777777" w:rsidR="00B22F5D" w:rsidRPr="00E40ABA" w:rsidRDefault="00000000">
            <w:pPr>
              <w:rPr>
                <w:rFonts w:asciiTheme="minorHAnsi" w:hAnsiTheme="minorHAnsi" w:cstheme="minorHAnsi"/>
              </w:rPr>
            </w:pPr>
            <w:r w:rsidRPr="00E40ABA">
              <w:rPr>
                <w:rFonts w:asciiTheme="minorHAnsi" w:hAnsiTheme="minorHAnsi" w:cstheme="minorHAnsi"/>
                <w:b/>
                <w:bCs/>
                <w:color w:val="FFFFFF"/>
                <w:sz w:val="20"/>
                <w:szCs w:val="20"/>
              </w:rPr>
              <w:t>Precision</w:t>
            </w:r>
          </w:p>
        </w:tc>
        <w:tc>
          <w:tcPr>
            <w:tcW w:w="1200" w:type="dxa"/>
            <w:shd w:val="clear" w:color="auto" w:fill="1F4E79"/>
            <w:tcMar>
              <w:top w:w="80" w:type="dxa"/>
              <w:left w:w="100" w:type="dxa"/>
              <w:bottom w:w="80" w:type="dxa"/>
              <w:right w:w="100" w:type="dxa"/>
            </w:tcMar>
          </w:tcPr>
          <w:p w14:paraId="0741D1CE" w14:textId="77777777" w:rsidR="00B22F5D" w:rsidRPr="00E40ABA" w:rsidRDefault="00000000">
            <w:pPr>
              <w:rPr>
                <w:rFonts w:asciiTheme="minorHAnsi" w:hAnsiTheme="minorHAnsi" w:cstheme="minorHAnsi"/>
              </w:rPr>
            </w:pPr>
            <w:r w:rsidRPr="00E40ABA">
              <w:rPr>
                <w:rFonts w:asciiTheme="minorHAnsi" w:hAnsiTheme="minorHAnsi" w:cstheme="minorHAnsi"/>
                <w:b/>
                <w:bCs/>
                <w:color w:val="FFFFFF"/>
                <w:sz w:val="20"/>
                <w:szCs w:val="20"/>
              </w:rPr>
              <w:t>Recall</w:t>
            </w:r>
          </w:p>
        </w:tc>
        <w:tc>
          <w:tcPr>
            <w:tcW w:w="1100" w:type="dxa"/>
            <w:shd w:val="clear" w:color="auto" w:fill="1F4E79"/>
            <w:tcMar>
              <w:top w:w="80" w:type="dxa"/>
              <w:left w:w="100" w:type="dxa"/>
              <w:bottom w:w="80" w:type="dxa"/>
              <w:right w:w="100" w:type="dxa"/>
            </w:tcMar>
          </w:tcPr>
          <w:p w14:paraId="031A7593" w14:textId="77777777" w:rsidR="00B22F5D" w:rsidRPr="00E40ABA" w:rsidRDefault="00000000">
            <w:pPr>
              <w:rPr>
                <w:rFonts w:asciiTheme="minorHAnsi" w:hAnsiTheme="minorHAnsi" w:cstheme="minorHAnsi"/>
              </w:rPr>
            </w:pPr>
            <w:r w:rsidRPr="00E40ABA">
              <w:rPr>
                <w:rFonts w:asciiTheme="minorHAnsi" w:hAnsiTheme="minorHAnsi" w:cstheme="minorHAnsi"/>
                <w:b/>
                <w:bCs/>
                <w:color w:val="FFFFFF"/>
                <w:sz w:val="20"/>
                <w:szCs w:val="20"/>
              </w:rPr>
              <w:t>F1</w:t>
            </w:r>
          </w:p>
        </w:tc>
        <w:tc>
          <w:tcPr>
            <w:tcW w:w="1160" w:type="dxa"/>
            <w:shd w:val="clear" w:color="auto" w:fill="1F4E79"/>
            <w:tcMar>
              <w:top w:w="80" w:type="dxa"/>
              <w:left w:w="100" w:type="dxa"/>
              <w:bottom w:w="80" w:type="dxa"/>
              <w:right w:w="100" w:type="dxa"/>
            </w:tcMar>
          </w:tcPr>
          <w:p w14:paraId="291D428C" w14:textId="77777777" w:rsidR="00B22F5D" w:rsidRPr="00E40ABA" w:rsidRDefault="00000000">
            <w:pPr>
              <w:rPr>
                <w:rFonts w:asciiTheme="minorHAnsi" w:hAnsiTheme="minorHAnsi" w:cstheme="minorHAnsi"/>
              </w:rPr>
            </w:pPr>
            <w:r w:rsidRPr="00E40ABA">
              <w:rPr>
                <w:rFonts w:asciiTheme="minorHAnsi" w:hAnsiTheme="minorHAnsi" w:cstheme="minorHAnsi"/>
                <w:b/>
                <w:bCs/>
                <w:color w:val="FFFFFF"/>
                <w:sz w:val="20"/>
                <w:szCs w:val="20"/>
              </w:rPr>
              <w:t>ROC-AUC</w:t>
            </w:r>
          </w:p>
        </w:tc>
      </w:tr>
      <w:tr w:rsidR="00B22F5D" w:rsidRPr="00E40ABA" w14:paraId="165A985B" w14:textId="77777777">
        <w:tc>
          <w:tcPr>
            <w:tcW w:w="2400" w:type="dxa"/>
            <w:shd w:val="clear" w:color="auto" w:fill="FFFFFF"/>
            <w:tcMar>
              <w:top w:w="80" w:type="dxa"/>
              <w:left w:w="100" w:type="dxa"/>
              <w:bottom w:w="80" w:type="dxa"/>
              <w:right w:w="100" w:type="dxa"/>
            </w:tcMar>
          </w:tcPr>
          <w:p w14:paraId="1B5794CF"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Gradient Boosting</w:t>
            </w:r>
          </w:p>
        </w:tc>
        <w:tc>
          <w:tcPr>
            <w:tcW w:w="1300" w:type="dxa"/>
            <w:shd w:val="clear" w:color="auto" w:fill="FFFFFF"/>
            <w:tcMar>
              <w:top w:w="80" w:type="dxa"/>
              <w:left w:w="100" w:type="dxa"/>
              <w:bottom w:w="80" w:type="dxa"/>
              <w:right w:w="100" w:type="dxa"/>
            </w:tcMar>
          </w:tcPr>
          <w:p w14:paraId="09F48957"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87.0%</w:t>
            </w:r>
          </w:p>
        </w:tc>
        <w:tc>
          <w:tcPr>
            <w:tcW w:w="1300" w:type="dxa"/>
            <w:shd w:val="clear" w:color="auto" w:fill="FFFFFF"/>
            <w:tcMar>
              <w:top w:w="80" w:type="dxa"/>
              <w:left w:w="100" w:type="dxa"/>
              <w:bottom w:w="80" w:type="dxa"/>
              <w:right w:w="100" w:type="dxa"/>
            </w:tcMar>
          </w:tcPr>
          <w:p w14:paraId="054594AB"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79.4%</w:t>
            </w:r>
          </w:p>
        </w:tc>
        <w:tc>
          <w:tcPr>
            <w:tcW w:w="1200" w:type="dxa"/>
            <w:shd w:val="clear" w:color="auto" w:fill="FFFFFF"/>
            <w:tcMar>
              <w:top w:w="80" w:type="dxa"/>
              <w:left w:w="100" w:type="dxa"/>
              <w:bottom w:w="80" w:type="dxa"/>
              <w:right w:w="100" w:type="dxa"/>
            </w:tcMar>
          </w:tcPr>
          <w:p w14:paraId="5965113A"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49.1%</w:t>
            </w:r>
          </w:p>
        </w:tc>
        <w:tc>
          <w:tcPr>
            <w:tcW w:w="1100" w:type="dxa"/>
            <w:shd w:val="clear" w:color="auto" w:fill="FFFFFF"/>
            <w:tcMar>
              <w:top w:w="80" w:type="dxa"/>
              <w:left w:w="100" w:type="dxa"/>
              <w:bottom w:w="80" w:type="dxa"/>
              <w:right w:w="100" w:type="dxa"/>
            </w:tcMar>
          </w:tcPr>
          <w:p w14:paraId="1552C540"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0.607</w:t>
            </w:r>
          </w:p>
        </w:tc>
        <w:tc>
          <w:tcPr>
            <w:tcW w:w="1160" w:type="dxa"/>
            <w:shd w:val="clear" w:color="auto" w:fill="FFFFFF"/>
            <w:tcMar>
              <w:top w:w="80" w:type="dxa"/>
              <w:left w:w="100" w:type="dxa"/>
              <w:bottom w:w="80" w:type="dxa"/>
              <w:right w:w="100" w:type="dxa"/>
            </w:tcMar>
          </w:tcPr>
          <w:p w14:paraId="2365E04C"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0.870</w:t>
            </w:r>
          </w:p>
        </w:tc>
      </w:tr>
      <w:tr w:rsidR="00B22F5D" w:rsidRPr="00E40ABA" w14:paraId="5A4BA611" w14:textId="77777777">
        <w:tc>
          <w:tcPr>
            <w:tcW w:w="2400" w:type="dxa"/>
            <w:shd w:val="clear" w:color="auto" w:fill="DCE6F1"/>
            <w:tcMar>
              <w:top w:w="80" w:type="dxa"/>
              <w:left w:w="100" w:type="dxa"/>
              <w:bottom w:w="80" w:type="dxa"/>
              <w:right w:w="100" w:type="dxa"/>
            </w:tcMar>
          </w:tcPr>
          <w:p w14:paraId="2C939F3F" w14:textId="77777777" w:rsidR="00B22F5D" w:rsidRPr="00E40ABA" w:rsidRDefault="00000000">
            <w:pPr>
              <w:rPr>
                <w:rFonts w:asciiTheme="minorHAnsi" w:hAnsiTheme="minorHAnsi" w:cstheme="minorHAnsi"/>
              </w:rPr>
            </w:pPr>
            <w:proofErr w:type="spellStart"/>
            <w:r w:rsidRPr="00E40ABA">
              <w:rPr>
                <w:rFonts w:asciiTheme="minorHAnsi" w:hAnsiTheme="minorHAnsi" w:cstheme="minorHAnsi"/>
                <w:color w:val="000000"/>
                <w:sz w:val="20"/>
                <w:szCs w:val="20"/>
              </w:rPr>
              <w:t>XGBoost</w:t>
            </w:r>
            <w:proofErr w:type="spellEnd"/>
          </w:p>
        </w:tc>
        <w:tc>
          <w:tcPr>
            <w:tcW w:w="1300" w:type="dxa"/>
            <w:shd w:val="clear" w:color="auto" w:fill="DCE6F1"/>
            <w:tcMar>
              <w:top w:w="80" w:type="dxa"/>
              <w:left w:w="100" w:type="dxa"/>
              <w:bottom w:w="80" w:type="dxa"/>
              <w:right w:w="100" w:type="dxa"/>
            </w:tcMar>
          </w:tcPr>
          <w:p w14:paraId="3650F29A"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80.0%</w:t>
            </w:r>
          </w:p>
        </w:tc>
        <w:tc>
          <w:tcPr>
            <w:tcW w:w="1300" w:type="dxa"/>
            <w:shd w:val="clear" w:color="auto" w:fill="DCE6F1"/>
            <w:tcMar>
              <w:top w:w="80" w:type="dxa"/>
              <w:left w:w="100" w:type="dxa"/>
              <w:bottom w:w="80" w:type="dxa"/>
              <w:right w:w="100" w:type="dxa"/>
            </w:tcMar>
          </w:tcPr>
          <w:p w14:paraId="5A77D90F"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50.7%</w:t>
            </w:r>
          </w:p>
        </w:tc>
        <w:tc>
          <w:tcPr>
            <w:tcW w:w="1200" w:type="dxa"/>
            <w:shd w:val="clear" w:color="auto" w:fill="DCE6F1"/>
            <w:tcMar>
              <w:top w:w="80" w:type="dxa"/>
              <w:left w:w="100" w:type="dxa"/>
              <w:bottom w:w="80" w:type="dxa"/>
              <w:right w:w="100" w:type="dxa"/>
            </w:tcMar>
          </w:tcPr>
          <w:p w14:paraId="42CEE97E"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73.7%</w:t>
            </w:r>
          </w:p>
        </w:tc>
        <w:tc>
          <w:tcPr>
            <w:tcW w:w="1100" w:type="dxa"/>
            <w:shd w:val="clear" w:color="auto" w:fill="DCE6F1"/>
            <w:tcMar>
              <w:top w:w="80" w:type="dxa"/>
              <w:left w:w="100" w:type="dxa"/>
              <w:bottom w:w="80" w:type="dxa"/>
              <w:right w:w="100" w:type="dxa"/>
            </w:tcMar>
          </w:tcPr>
          <w:p w14:paraId="16E066D6"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0.601</w:t>
            </w:r>
          </w:p>
        </w:tc>
        <w:tc>
          <w:tcPr>
            <w:tcW w:w="1160" w:type="dxa"/>
            <w:shd w:val="clear" w:color="auto" w:fill="DCE6F1"/>
            <w:tcMar>
              <w:top w:w="80" w:type="dxa"/>
              <w:left w:w="100" w:type="dxa"/>
              <w:bottom w:w="80" w:type="dxa"/>
              <w:right w:w="100" w:type="dxa"/>
            </w:tcMar>
          </w:tcPr>
          <w:p w14:paraId="39D5CDF9"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0.868</w:t>
            </w:r>
          </w:p>
        </w:tc>
      </w:tr>
      <w:tr w:rsidR="00B22F5D" w:rsidRPr="00E40ABA" w14:paraId="44CFE4AA" w14:textId="77777777">
        <w:tc>
          <w:tcPr>
            <w:tcW w:w="2400" w:type="dxa"/>
            <w:shd w:val="clear" w:color="auto" w:fill="FFFFFF"/>
            <w:tcMar>
              <w:top w:w="80" w:type="dxa"/>
              <w:left w:w="100" w:type="dxa"/>
              <w:bottom w:w="80" w:type="dxa"/>
              <w:right w:w="100" w:type="dxa"/>
            </w:tcMar>
          </w:tcPr>
          <w:p w14:paraId="232EC780"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Random Forest</w:t>
            </w:r>
          </w:p>
        </w:tc>
        <w:tc>
          <w:tcPr>
            <w:tcW w:w="1300" w:type="dxa"/>
            <w:shd w:val="clear" w:color="auto" w:fill="FFFFFF"/>
            <w:tcMar>
              <w:top w:w="80" w:type="dxa"/>
              <w:left w:w="100" w:type="dxa"/>
              <w:bottom w:w="80" w:type="dxa"/>
              <w:right w:w="100" w:type="dxa"/>
            </w:tcMar>
          </w:tcPr>
          <w:p w14:paraId="54A82D80"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81.4%</w:t>
            </w:r>
          </w:p>
        </w:tc>
        <w:tc>
          <w:tcPr>
            <w:tcW w:w="1300" w:type="dxa"/>
            <w:shd w:val="clear" w:color="auto" w:fill="FFFFFF"/>
            <w:tcMar>
              <w:top w:w="80" w:type="dxa"/>
              <w:left w:w="100" w:type="dxa"/>
              <w:bottom w:w="80" w:type="dxa"/>
              <w:right w:w="100" w:type="dxa"/>
            </w:tcMar>
          </w:tcPr>
          <w:p w14:paraId="52E66396"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53.2%</w:t>
            </w:r>
          </w:p>
        </w:tc>
        <w:tc>
          <w:tcPr>
            <w:tcW w:w="1200" w:type="dxa"/>
            <w:shd w:val="clear" w:color="auto" w:fill="FFFFFF"/>
            <w:tcMar>
              <w:top w:w="80" w:type="dxa"/>
              <w:left w:w="100" w:type="dxa"/>
              <w:bottom w:w="80" w:type="dxa"/>
              <w:right w:w="100" w:type="dxa"/>
            </w:tcMar>
          </w:tcPr>
          <w:p w14:paraId="6B875465"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71.7%</w:t>
            </w:r>
          </w:p>
        </w:tc>
        <w:tc>
          <w:tcPr>
            <w:tcW w:w="1100" w:type="dxa"/>
            <w:shd w:val="clear" w:color="auto" w:fill="FFFFFF"/>
            <w:tcMar>
              <w:top w:w="80" w:type="dxa"/>
              <w:left w:w="100" w:type="dxa"/>
              <w:bottom w:w="80" w:type="dxa"/>
              <w:right w:w="100" w:type="dxa"/>
            </w:tcMar>
          </w:tcPr>
          <w:p w14:paraId="41BD9DE7"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0.611</w:t>
            </w:r>
          </w:p>
        </w:tc>
        <w:tc>
          <w:tcPr>
            <w:tcW w:w="1160" w:type="dxa"/>
            <w:shd w:val="clear" w:color="auto" w:fill="FFFFFF"/>
            <w:tcMar>
              <w:top w:w="80" w:type="dxa"/>
              <w:left w:w="100" w:type="dxa"/>
              <w:bottom w:w="80" w:type="dxa"/>
              <w:right w:w="100" w:type="dxa"/>
            </w:tcMar>
          </w:tcPr>
          <w:p w14:paraId="225F8076"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0.862</w:t>
            </w:r>
          </w:p>
        </w:tc>
      </w:tr>
      <w:tr w:rsidR="00B22F5D" w:rsidRPr="00E40ABA" w14:paraId="00BFB71E" w14:textId="77777777">
        <w:tc>
          <w:tcPr>
            <w:tcW w:w="2400" w:type="dxa"/>
            <w:shd w:val="clear" w:color="auto" w:fill="DCE6F1"/>
            <w:tcMar>
              <w:top w:w="80" w:type="dxa"/>
              <w:left w:w="100" w:type="dxa"/>
              <w:bottom w:w="80" w:type="dxa"/>
              <w:right w:w="100" w:type="dxa"/>
            </w:tcMar>
          </w:tcPr>
          <w:p w14:paraId="768437A1"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SVM (RBF)</w:t>
            </w:r>
          </w:p>
        </w:tc>
        <w:tc>
          <w:tcPr>
            <w:tcW w:w="1300" w:type="dxa"/>
            <w:shd w:val="clear" w:color="auto" w:fill="DCE6F1"/>
            <w:tcMar>
              <w:top w:w="80" w:type="dxa"/>
              <w:left w:w="100" w:type="dxa"/>
              <w:bottom w:w="80" w:type="dxa"/>
              <w:right w:w="100" w:type="dxa"/>
            </w:tcMar>
          </w:tcPr>
          <w:p w14:paraId="49570E94"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78.8%</w:t>
            </w:r>
          </w:p>
        </w:tc>
        <w:tc>
          <w:tcPr>
            <w:tcW w:w="1300" w:type="dxa"/>
            <w:shd w:val="clear" w:color="auto" w:fill="DCE6F1"/>
            <w:tcMar>
              <w:top w:w="80" w:type="dxa"/>
              <w:left w:w="100" w:type="dxa"/>
              <w:bottom w:w="80" w:type="dxa"/>
              <w:right w:w="100" w:type="dxa"/>
            </w:tcMar>
          </w:tcPr>
          <w:p w14:paraId="2BD71D9B"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48.5%</w:t>
            </w:r>
          </w:p>
        </w:tc>
        <w:tc>
          <w:tcPr>
            <w:tcW w:w="1200" w:type="dxa"/>
            <w:shd w:val="clear" w:color="auto" w:fill="DCE6F1"/>
            <w:tcMar>
              <w:top w:w="80" w:type="dxa"/>
              <w:left w:w="100" w:type="dxa"/>
              <w:bottom w:w="80" w:type="dxa"/>
              <w:right w:w="100" w:type="dxa"/>
            </w:tcMar>
          </w:tcPr>
          <w:p w14:paraId="769794FA"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73.5%</w:t>
            </w:r>
          </w:p>
        </w:tc>
        <w:tc>
          <w:tcPr>
            <w:tcW w:w="1100" w:type="dxa"/>
            <w:shd w:val="clear" w:color="auto" w:fill="DCE6F1"/>
            <w:tcMar>
              <w:top w:w="80" w:type="dxa"/>
              <w:left w:w="100" w:type="dxa"/>
              <w:bottom w:w="80" w:type="dxa"/>
              <w:right w:w="100" w:type="dxa"/>
            </w:tcMar>
          </w:tcPr>
          <w:p w14:paraId="303B3A93"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0.585</w:t>
            </w:r>
          </w:p>
        </w:tc>
        <w:tc>
          <w:tcPr>
            <w:tcW w:w="1160" w:type="dxa"/>
            <w:shd w:val="clear" w:color="auto" w:fill="DCE6F1"/>
            <w:tcMar>
              <w:top w:w="80" w:type="dxa"/>
              <w:left w:w="100" w:type="dxa"/>
              <w:bottom w:w="80" w:type="dxa"/>
              <w:right w:w="100" w:type="dxa"/>
            </w:tcMar>
          </w:tcPr>
          <w:p w14:paraId="6B42E7B3"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0.856</w:t>
            </w:r>
          </w:p>
        </w:tc>
      </w:tr>
      <w:tr w:rsidR="00B22F5D" w:rsidRPr="00E40ABA" w14:paraId="2F74F2E6" w14:textId="77777777">
        <w:tc>
          <w:tcPr>
            <w:tcW w:w="2400" w:type="dxa"/>
            <w:shd w:val="clear" w:color="auto" w:fill="FFFFFF"/>
            <w:tcMar>
              <w:top w:w="80" w:type="dxa"/>
              <w:left w:w="100" w:type="dxa"/>
              <w:bottom w:w="80" w:type="dxa"/>
              <w:right w:w="100" w:type="dxa"/>
            </w:tcMar>
          </w:tcPr>
          <w:p w14:paraId="55E09B64"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lastRenderedPageBreak/>
              <w:t>Decision Tree</w:t>
            </w:r>
          </w:p>
        </w:tc>
        <w:tc>
          <w:tcPr>
            <w:tcW w:w="1300" w:type="dxa"/>
            <w:shd w:val="clear" w:color="auto" w:fill="FFFFFF"/>
            <w:tcMar>
              <w:top w:w="80" w:type="dxa"/>
              <w:left w:w="100" w:type="dxa"/>
              <w:bottom w:w="80" w:type="dxa"/>
              <w:right w:w="100" w:type="dxa"/>
            </w:tcMar>
          </w:tcPr>
          <w:p w14:paraId="24B62C97"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76.2%</w:t>
            </w:r>
          </w:p>
        </w:tc>
        <w:tc>
          <w:tcPr>
            <w:tcW w:w="1300" w:type="dxa"/>
            <w:shd w:val="clear" w:color="auto" w:fill="FFFFFF"/>
            <w:tcMar>
              <w:top w:w="80" w:type="dxa"/>
              <w:left w:w="100" w:type="dxa"/>
              <w:bottom w:w="80" w:type="dxa"/>
              <w:right w:w="100" w:type="dxa"/>
            </w:tcMar>
          </w:tcPr>
          <w:p w14:paraId="7BD952F3"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45.1%</w:t>
            </w:r>
          </w:p>
        </w:tc>
        <w:tc>
          <w:tcPr>
            <w:tcW w:w="1200" w:type="dxa"/>
            <w:shd w:val="clear" w:color="auto" w:fill="FFFFFF"/>
            <w:tcMar>
              <w:top w:w="80" w:type="dxa"/>
              <w:left w:w="100" w:type="dxa"/>
              <w:bottom w:w="80" w:type="dxa"/>
              <w:right w:w="100" w:type="dxa"/>
            </w:tcMar>
          </w:tcPr>
          <w:p w14:paraId="5B503A06"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78.4%</w:t>
            </w:r>
          </w:p>
        </w:tc>
        <w:tc>
          <w:tcPr>
            <w:tcW w:w="1100" w:type="dxa"/>
            <w:shd w:val="clear" w:color="auto" w:fill="FFFFFF"/>
            <w:tcMar>
              <w:top w:w="80" w:type="dxa"/>
              <w:left w:w="100" w:type="dxa"/>
              <w:bottom w:w="80" w:type="dxa"/>
              <w:right w:w="100" w:type="dxa"/>
            </w:tcMar>
          </w:tcPr>
          <w:p w14:paraId="2FCEDADD"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0.572</w:t>
            </w:r>
          </w:p>
        </w:tc>
        <w:tc>
          <w:tcPr>
            <w:tcW w:w="1160" w:type="dxa"/>
            <w:shd w:val="clear" w:color="auto" w:fill="FFFFFF"/>
            <w:tcMar>
              <w:top w:w="80" w:type="dxa"/>
              <w:left w:w="100" w:type="dxa"/>
              <w:bottom w:w="80" w:type="dxa"/>
              <w:right w:w="100" w:type="dxa"/>
            </w:tcMar>
          </w:tcPr>
          <w:p w14:paraId="2DAF0C3B"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0.842</w:t>
            </w:r>
          </w:p>
        </w:tc>
      </w:tr>
      <w:tr w:rsidR="00B22F5D" w:rsidRPr="00E40ABA" w14:paraId="01151939" w14:textId="77777777">
        <w:tc>
          <w:tcPr>
            <w:tcW w:w="2400" w:type="dxa"/>
            <w:shd w:val="clear" w:color="auto" w:fill="DCE6F1"/>
            <w:tcMar>
              <w:top w:w="80" w:type="dxa"/>
              <w:left w:w="100" w:type="dxa"/>
              <w:bottom w:w="80" w:type="dxa"/>
              <w:right w:w="100" w:type="dxa"/>
            </w:tcMar>
          </w:tcPr>
          <w:p w14:paraId="349735A0"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Logistic Regression</w:t>
            </w:r>
          </w:p>
        </w:tc>
        <w:tc>
          <w:tcPr>
            <w:tcW w:w="1300" w:type="dxa"/>
            <w:shd w:val="clear" w:color="auto" w:fill="DCE6F1"/>
            <w:tcMar>
              <w:top w:w="80" w:type="dxa"/>
              <w:left w:w="100" w:type="dxa"/>
              <w:bottom w:w="80" w:type="dxa"/>
              <w:right w:w="100" w:type="dxa"/>
            </w:tcMar>
          </w:tcPr>
          <w:p w14:paraId="27F10D53"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71.4%</w:t>
            </w:r>
          </w:p>
        </w:tc>
        <w:tc>
          <w:tcPr>
            <w:tcW w:w="1300" w:type="dxa"/>
            <w:shd w:val="clear" w:color="auto" w:fill="DCE6F1"/>
            <w:tcMar>
              <w:top w:w="80" w:type="dxa"/>
              <w:left w:w="100" w:type="dxa"/>
              <w:bottom w:w="80" w:type="dxa"/>
              <w:right w:w="100" w:type="dxa"/>
            </w:tcMar>
          </w:tcPr>
          <w:p w14:paraId="6598E697"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38.7%</w:t>
            </w:r>
          </w:p>
        </w:tc>
        <w:tc>
          <w:tcPr>
            <w:tcW w:w="1200" w:type="dxa"/>
            <w:shd w:val="clear" w:color="auto" w:fill="DCE6F1"/>
            <w:tcMar>
              <w:top w:w="80" w:type="dxa"/>
              <w:left w:w="100" w:type="dxa"/>
              <w:bottom w:w="80" w:type="dxa"/>
              <w:right w:w="100" w:type="dxa"/>
            </w:tcMar>
          </w:tcPr>
          <w:p w14:paraId="35D32CF6"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70.0%</w:t>
            </w:r>
          </w:p>
        </w:tc>
        <w:tc>
          <w:tcPr>
            <w:tcW w:w="1100" w:type="dxa"/>
            <w:shd w:val="clear" w:color="auto" w:fill="DCE6F1"/>
            <w:tcMar>
              <w:top w:w="80" w:type="dxa"/>
              <w:left w:w="100" w:type="dxa"/>
              <w:bottom w:w="80" w:type="dxa"/>
              <w:right w:w="100" w:type="dxa"/>
            </w:tcMar>
          </w:tcPr>
          <w:p w14:paraId="0170A7BF"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0.499</w:t>
            </w:r>
          </w:p>
        </w:tc>
        <w:tc>
          <w:tcPr>
            <w:tcW w:w="1160" w:type="dxa"/>
            <w:shd w:val="clear" w:color="auto" w:fill="DCE6F1"/>
            <w:tcMar>
              <w:top w:w="80" w:type="dxa"/>
              <w:left w:w="100" w:type="dxa"/>
              <w:bottom w:w="80" w:type="dxa"/>
              <w:right w:w="100" w:type="dxa"/>
            </w:tcMar>
          </w:tcPr>
          <w:p w14:paraId="59DFFDB6"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0.777</w:t>
            </w:r>
          </w:p>
        </w:tc>
      </w:tr>
    </w:tbl>
    <w:p w14:paraId="21754014" w14:textId="77777777" w:rsidR="00B22F5D" w:rsidRPr="00E40ABA" w:rsidRDefault="00B22F5D">
      <w:pPr>
        <w:spacing w:after="160"/>
        <w:rPr>
          <w:rFonts w:asciiTheme="minorHAnsi" w:hAnsiTheme="minorHAnsi" w:cstheme="minorHAnsi"/>
        </w:rPr>
      </w:pPr>
    </w:p>
    <w:p w14:paraId="2A2804BA" w14:textId="77777777" w:rsidR="00B22F5D" w:rsidRPr="00E40ABA" w:rsidRDefault="00000000">
      <w:pPr>
        <w:spacing w:after="80"/>
        <w:jc w:val="center"/>
        <w:rPr>
          <w:rFonts w:asciiTheme="minorHAnsi" w:hAnsiTheme="minorHAnsi" w:cstheme="minorHAnsi"/>
        </w:rPr>
      </w:pPr>
      <w:r w:rsidRPr="00E40ABA">
        <w:rPr>
          <w:rFonts w:asciiTheme="minorHAnsi" w:hAnsiTheme="minorHAnsi" w:cstheme="minorHAnsi"/>
          <w:noProof/>
        </w:rPr>
        <w:drawing>
          <wp:inline distT="0" distB="0" distL="0" distR="0" wp14:anchorId="6852A8D2" wp14:editId="46237062">
            <wp:extent cx="4572000" cy="2519742"/>
            <wp:effectExtent l="0" t="0" r="0" b="0"/>
            <wp:docPr id="1558487538" name="Picture 1558487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519742"/>
                    </a:xfrm>
                    <a:prstGeom prst="rect">
                      <a:avLst/>
                    </a:prstGeom>
                  </pic:spPr>
                </pic:pic>
              </a:graphicData>
            </a:graphic>
          </wp:inline>
        </w:drawing>
      </w:r>
    </w:p>
    <w:p w14:paraId="5C4A2128" w14:textId="77777777" w:rsidR="00B22F5D" w:rsidRPr="00E40ABA" w:rsidRDefault="00000000">
      <w:pPr>
        <w:spacing w:after="260"/>
        <w:jc w:val="center"/>
        <w:rPr>
          <w:rFonts w:asciiTheme="minorHAnsi" w:hAnsiTheme="minorHAnsi" w:cstheme="minorHAnsi"/>
        </w:rPr>
      </w:pPr>
      <w:r w:rsidRPr="00E40ABA">
        <w:rPr>
          <w:rFonts w:asciiTheme="minorHAnsi" w:hAnsiTheme="minorHAnsi" w:cstheme="minorHAnsi"/>
          <w:i/>
          <w:iCs/>
          <w:color w:val="555555"/>
          <w:sz w:val="19"/>
          <w:szCs w:val="19"/>
        </w:rPr>
        <w:t>Figure 4. Model comparison across accuracy, precision, recall, F1, and ROC-AUC for all six baseline models.</w:t>
      </w:r>
    </w:p>
    <w:p w14:paraId="22E6EBF7" w14:textId="77777777" w:rsidR="00B22F5D" w:rsidRPr="00E40ABA" w:rsidRDefault="00000000">
      <w:pPr>
        <w:spacing w:after="160"/>
        <w:rPr>
          <w:rFonts w:asciiTheme="minorHAnsi" w:hAnsiTheme="minorHAnsi" w:cstheme="minorHAnsi"/>
        </w:rPr>
      </w:pPr>
      <w:r w:rsidRPr="00E40ABA">
        <w:rPr>
          <w:rFonts w:asciiTheme="minorHAnsi" w:hAnsiTheme="minorHAnsi" w:cstheme="minorHAnsi"/>
        </w:rPr>
        <w:t xml:space="preserve">With an imbalanced ~20% churn base, accuracy alone is a misleading ranking criterion — a model that always predicts "retained" would score roughly 80% accuracy while catching zero churners. Recall and ROC-AUC are the more decision-relevant metrics: Gradient Boosting leads on ROC-AUC and precision, but its recall (49%) means it misses roughly half of actual churners. </w:t>
      </w:r>
      <w:proofErr w:type="spellStart"/>
      <w:r w:rsidRPr="00E40ABA">
        <w:rPr>
          <w:rFonts w:asciiTheme="minorHAnsi" w:hAnsiTheme="minorHAnsi" w:cstheme="minorHAnsi"/>
        </w:rPr>
        <w:t>XGBoost</w:t>
      </w:r>
      <w:proofErr w:type="spellEnd"/>
      <w:r w:rsidRPr="00E40ABA">
        <w:rPr>
          <w:rFonts w:asciiTheme="minorHAnsi" w:hAnsiTheme="minorHAnsi" w:cstheme="minorHAnsi"/>
        </w:rPr>
        <w:t xml:space="preserve"> and Random Forest trade a few points of precision for materially higher recall (72–74%), which is generally the more useful trade-off for a retention program, where the cost of a missed churner (a lost customer) typically exceeds the cost of a false alarm (an unnecessary retention outreach).</w:t>
      </w:r>
    </w:p>
    <w:p w14:paraId="0FF7183C" w14:textId="77777777" w:rsidR="00B22F5D" w:rsidRPr="00E40ABA" w:rsidRDefault="00000000">
      <w:pPr>
        <w:pStyle w:val="Heading2"/>
        <w:rPr>
          <w:rFonts w:asciiTheme="minorHAnsi" w:hAnsiTheme="minorHAnsi" w:cstheme="minorHAnsi"/>
        </w:rPr>
      </w:pPr>
      <w:r w:rsidRPr="00E40ABA">
        <w:rPr>
          <w:rFonts w:asciiTheme="minorHAnsi" w:hAnsiTheme="minorHAnsi" w:cstheme="minorHAnsi"/>
        </w:rPr>
        <w:t>5.2 Hyperparameter Tuning</w:t>
      </w:r>
    </w:p>
    <w:p w14:paraId="15695D70" w14:textId="77777777" w:rsidR="00B22F5D" w:rsidRPr="00E40ABA" w:rsidRDefault="00000000">
      <w:pPr>
        <w:spacing w:after="160"/>
        <w:rPr>
          <w:rFonts w:asciiTheme="minorHAnsi" w:hAnsiTheme="minorHAnsi" w:cstheme="minorHAnsi"/>
        </w:rPr>
      </w:pPr>
      <w:r w:rsidRPr="00E40ABA">
        <w:rPr>
          <w:rFonts w:asciiTheme="minorHAnsi" w:hAnsiTheme="minorHAnsi" w:cstheme="minorHAnsi"/>
        </w:rPr>
        <w:t xml:space="preserve">The three tree-based ensembles were tuned using </w:t>
      </w:r>
      <w:proofErr w:type="spellStart"/>
      <w:r w:rsidRPr="00E40ABA">
        <w:rPr>
          <w:rFonts w:asciiTheme="minorHAnsi" w:hAnsiTheme="minorHAnsi" w:cstheme="minorHAnsi"/>
        </w:rPr>
        <w:t>RandomizedSearchCV</w:t>
      </w:r>
      <w:proofErr w:type="spellEnd"/>
      <w:r w:rsidRPr="00E40ABA">
        <w:rPr>
          <w:rFonts w:asciiTheme="minorHAnsi" w:hAnsiTheme="minorHAnsi" w:cstheme="minorHAnsi"/>
        </w:rPr>
        <w:t xml:space="preserve"> with cross-validation, scored on ROC-AUC. Tuning produced a modest, not transformative, improvement — an honest result worth stating plainly rather than overselling.</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680"/>
        <w:gridCol w:w="2680"/>
      </w:tblGrid>
      <w:tr w:rsidR="00B22F5D" w:rsidRPr="00E40ABA" w14:paraId="49397E8B" w14:textId="77777777">
        <w:trPr>
          <w:tblHeader/>
        </w:trPr>
        <w:tc>
          <w:tcPr>
            <w:tcW w:w="3800" w:type="dxa"/>
            <w:shd w:val="clear" w:color="auto" w:fill="1F4E79"/>
            <w:tcMar>
              <w:top w:w="80" w:type="dxa"/>
              <w:left w:w="100" w:type="dxa"/>
              <w:bottom w:w="80" w:type="dxa"/>
              <w:right w:w="100" w:type="dxa"/>
            </w:tcMar>
          </w:tcPr>
          <w:p w14:paraId="0632488A" w14:textId="77777777" w:rsidR="00B22F5D" w:rsidRPr="00E40ABA" w:rsidRDefault="00000000">
            <w:pPr>
              <w:rPr>
                <w:rFonts w:asciiTheme="minorHAnsi" w:hAnsiTheme="minorHAnsi" w:cstheme="minorHAnsi"/>
              </w:rPr>
            </w:pPr>
            <w:r w:rsidRPr="00E40ABA">
              <w:rPr>
                <w:rFonts w:asciiTheme="minorHAnsi" w:hAnsiTheme="minorHAnsi" w:cstheme="minorHAnsi"/>
                <w:b/>
                <w:bCs/>
                <w:color w:val="FFFFFF"/>
                <w:sz w:val="20"/>
                <w:szCs w:val="20"/>
              </w:rPr>
              <w:t>Model</w:t>
            </w:r>
          </w:p>
        </w:tc>
        <w:tc>
          <w:tcPr>
            <w:tcW w:w="2680" w:type="dxa"/>
            <w:shd w:val="clear" w:color="auto" w:fill="1F4E79"/>
            <w:tcMar>
              <w:top w:w="80" w:type="dxa"/>
              <w:left w:w="100" w:type="dxa"/>
              <w:bottom w:w="80" w:type="dxa"/>
              <w:right w:w="100" w:type="dxa"/>
            </w:tcMar>
          </w:tcPr>
          <w:p w14:paraId="5215881C" w14:textId="77777777" w:rsidR="00B22F5D" w:rsidRPr="00E40ABA" w:rsidRDefault="00000000">
            <w:pPr>
              <w:rPr>
                <w:rFonts w:asciiTheme="minorHAnsi" w:hAnsiTheme="minorHAnsi" w:cstheme="minorHAnsi"/>
              </w:rPr>
            </w:pPr>
            <w:r w:rsidRPr="00E40ABA">
              <w:rPr>
                <w:rFonts w:asciiTheme="minorHAnsi" w:hAnsiTheme="minorHAnsi" w:cstheme="minorHAnsi"/>
                <w:b/>
                <w:bCs/>
                <w:color w:val="FFFFFF"/>
                <w:sz w:val="20"/>
                <w:szCs w:val="20"/>
              </w:rPr>
              <w:t>Cross-Val ROC-AUC</w:t>
            </w:r>
          </w:p>
        </w:tc>
        <w:tc>
          <w:tcPr>
            <w:tcW w:w="2680" w:type="dxa"/>
            <w:shd w:val="clear" w:color="auto" w:fill="1F4E79"/>
            <w:tcMar>
              <w:top w:w="80" w:type="dxa"/>
              <w:left w:w="100" w:type="dxa"/>
              <w:bottom w:w="80" w:type="dxa"/>
              <w:right w:w="100" w:type="dxa"/>
            </w:tcMar>
          </w:tcPr>
          <w:p w14:paraId="1F1379EF" w14:textId="77777777" w:rsidR="00B22F5D" w:rsidRPr="00E40ABA" w:rsidRDefault="00000000">
            <w:pPr>
              <w:rPr>
                <w:rFonts w:asciiTheme="minorHAnsi" w:hAnsiTheme="minorHAnsi" w:cstheme="minorHAnsi"/>
              </w:rPr>
            </w:pPr>
            <w:r w:rsidRPr="00E40ABA">
              <w:rPr>
                <w:rFonts w:asciiTheme="minorHAnsi" w:hAnsiTheme="minorHAnsi" w:cstheme="minorHAnsi"/>
                <w:b/>
                <w:bCs/>
                <w:color w:val="FFFFFF"/>
                <w:sz w:val="20"/>
                <w:szCs w:val="20"/>
              </w:rPr>
              <w:t>Test ROC-AUC</w:t>
            </w:r>
          </w:p>
        </w:tc>
      </w:tr>
      <w:tr w:rsidR="00B22F5D" w:rsidRPr="00E40ABA" w14:paraId="6029358A" w14:textId="77777777">
        <w:tc>
          <w:tcPr>
            <w:tcW w:w="3800" w:type="dxa"/>
            <w:shd w:val="clear" w:color="auto" w:fill="FFFFFF"/>
            <w:tcMar>
              <w:top w:w="80" w:type="dxa"/>
              <w:left w:w="100" w:type="dxa"/>
              <w:bottom w:w="80" w:type="dxa"/>
              <w:right w:w="100" w:type="dxa"/>
            </w:tcMar>
          </w:tcPr>
          <w:p w14:paraId="3DB88798"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Random Forest (Tuned)</w:t>
            </w:r>
          </w:p>
        </w:tc>
        <w:tc>
          <w:tcPr>
            <w:tcW w:w="2680" w:type="dxa"/>
            <w:shd w:val="clear" w:color="auto" w:fill="FFFFFF"/>
            <w:tcMar>
              <w:top w:w="80" w:type="dxa"/>
              <w:left w:w="100" w:type="dxa"/>
              <w:bottom w:w="80" w:type="dxa"/>
              <w:right w:w="100" w:type="dxa"/>
            </w:tcMar>
          </w:tcPr>
          <w:p w14:paraId="6B3697AD"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0.862</w:t>
            </w:r>
          </w:p>
        </w:tc>
        <w:tc>
          <w:tcPr>
            <w:tcW w:w="2680" w:type="dxa"/>
            <w:shd w:val="clear" w:color="auto" w:fill="FFFFFF"/>
            <w:tcMar>
              <w:top w:w="80" w:type="dxa"/>
              <w:left w:w="100" w:type="dxa"/>
              <w:bottom w:w="80" w:type="dxa"/>
              <w:right w:w="100" w:type="dxa"/>
            </w:tcMar>
          </w:tcPr>
          <w:p w14:paraId="2865B04D"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0.861</w:t>
            </w:r>
          </w:p>
        </w:tc>
      </w:tr>
      <w:tr w:rsidR="00B22F5D" w:rsidRPr="00E40ABA" w14:paraId="2EF68A70" w14:textId="77777777">
        <w:tc>
          <w:tcPr>
            <w:tcW w:w="3800" w:type="dxa"/>
            <w:shd w:val="clear" w:color="auto" w:fill="DCE6F1"/>
            <w:tcMar>
              <w:top w:w="80" w:type="dxa"/>
              <w:left w:w="100" w:type="dxa"/>
              <w:bottom w:w="80" w:type="dxa"/>
              <w:right w:w="100" w:type="dxa"/>
            </w:tcMar>
          </w:tcPr>
          <w:p w14:paraId="27F7D87C"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Gradient Boosting (Tuned)</w:t>
            </w:r>
          </w:p>
        </w:tc>
        <w:tc>
          <w:tcPr>
            <w:tcW w:w="2680" w:type="dxa"/>
            <w:shd w:val="clear" w:color="auto" w:fill="DCE6F1"/>
            <w:tcMar>
              <w:top w:w="80" w:type="dxa"/>
              <w:left w:w="100" w:type="dxa"/>
              <w:bottom w:w="80" w:type="dxa"/>
              <w:right w:w="100" w:type="dxa"/>
            </w:tcMar>
          </w:tcPr>
          <w:p w14:paraId="6A38CF5B"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0.865</w:t>
            </w:r>
          </w:p>
        </w:tc>
        <w:tc>
          <w:tcPr>
            <w:tcW w:w="2680" w:type="dxa"/>
            <w:shd w:val="clear" w:color="auto" w:fill="DCE6F1"/>
            <w:tcMar>
              <w:top w:w="80" w:type="dxa"/>
              <w:left w:w="100" w:type="dxa"/>
              <w:bottom w:w="80" w:type="dxa"/>
              <w:right w:w="100" w:type="dxa"/>
            </w:tcMar>
          </w:tcPr>
          <w:p w14:paraId="2077CCBF"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0.868</w:t>
            </w:r>
          </w:p>
        </w:tc>
      </w:tr>
      <w:tr w:rsidR="00B22F5D" w:rsidRPr="00E40ABA" w14:paraId="277553EA" w14:textId="77777777">
        <w:tc>
          <w:tcPr>
            <w:tcW w:w="3800" w:type="dxa"/>
            <w:shd w:val="clear" w:color="auto" w:fill="FFFFFF"/>
            <w:tcMar>
              <w:top w:w="80" w:type="dxa"/>
              <w:left w:w="100" w:type="dxa"/>
              <w:bottom w:w="80" w:type="dxa"/>
              <w:right w:w="100" w:type="dxa"/>
            </w:tcMar>
          </w:tcPr>
          <w:p w14:paraId="4329B65D" w14:textId="77777777" w:rsidR="00B22F5D" w:rsidRPr="00E40ABA" w:rsidRDefault="00000000">
            <w:pPr>
              <w:rPr>
                <w:rFonts w:asciiTheme="minorHAnsi" w:hAnsiTheme="minorHAnsi" w:cstheme="minorHAnsi"/>
              </w:rPr>
            </w:pPr>
            <w:proofErr w:type="spellStart"/>
            <w:r w:rsidRPr="00E40ABA">
              <w:rPr>
                <w:rFonts w:asciiTheme="minorHAnsi" w:hAnsiTheme="minorHAnsi" w:cstheme="minorHAnsi"/>
                <w:color w:val="000000"/>
                <w:sz w:val="20"/>
                <w:szCs w:val="20"/>
              </w:rPr>
              <w:t>XGBoost</w:t>
            </w:r>
            <w:proofErr w:type="spellEnd"/>
            <w:r w:rsidRPr="00E40ABA">
              <w:rPr>
                <w:rFonts w:asciiTheme="minorHAnsi" w:hAnsiTheme="minorHAnsi" w:cstheme="minorHAnsi"/>
                <w:color w:val="000000"/>
                <w:sz w:val="20"/>
                <w:szCs w:val="20"/>
              </w:rPr>
              <w:t xml:space="preserve"> (Tuned)</w:t>
            </w:r>
          </w:p>
        </w:tc>
        <w:tc>
          <w:tcPr>
            <w:tcW w:w="2680" w:type="dxa"/>
            <w:shd w:val="clear" w:color="auto" w:fill="FFFFFF"/>
            <w:tcMar>
              <w:top w:w="80" w:type="dxa"/>
              <w:left w:w="100" w:type="dxa"/>
              <w:bottom w:w="80" w:type="dxa"/>
              <w:right w:w="100" w:type="dxa"/>
            </w:tcMar>
          </w:tcPr>
          <w:p w14:paraId="3245F929"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0.868</w:t>
            </w:r>
          </w:p>
        </w:tc>
        <w:tc>
          <w:tcPr>
            <w:tcW w:w="2680" w:type="dxa"/>
            <w:shd w:val="clear" w:color="auto" w:fill="FFFFFF"/>
            <w:tcMar>
              <w:top w:w="80" w:type="dxa"/>
              <w:left w:w="100" w:type="dxa"/>
              <w:bottom w:w="80" w:type="dxa"/>
              <w:right w:w="100" w:type="dxa"/>
            </w:tcMar>
          </w:tcPr>
          <w:p w14:paraId="41745889"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0.869</w:t>
            </w:r>
          </w:p>
        </w:tc>
      </w:tr>
    </w:tbl>
    <w:p w14:paraId="5B21112C" w14:textId="77777777" w:rsidR="00B22F5D" w:rsidRPr="00E40ABA" w:rsidRDefault="00B22F5D">
      <w:pPr>
        <w:spacing w:after="160"/>
        <w:rPr>
          <w:rFonts w:asciiTheme="minorHAnsi" w:hAnsiTheme="minorHAnsi" w:cstheme="minorHAnsi"/>
        </w:rPr>
      </w:pPr>
    </w:p>
    <w:p w14:paraId="1E9CA4AC" w14:textId="77777777" w:rsidR="00B22F5D" w:rsidRPr="00E40ABA" w:rsidRDefault="00000000">
      <w:pPr>
        <w:spacing w:after="160"/>
        <w:rPr>
          <w:rFonts w:asciiTheme="minorHAnsi" w:hAnsiTheme="minorHAnsi" w:cstheme="minorHAnsi"/>
        </w:rPr>
      </w:pPr>
      <w:r w:rsidRPr="00E40ABA">
        <w:rPr>
          <w:rFonts w:asciiTheme="minorHAnsi" w:hAnsiTheme="minorHAnsi" w:cstheme="minorHAnsi"/>
        </w:rPr>
        <w:t xml:space="preserve">Tuned </w:t>
      </w:r>
      <w:proofErr w:type="spellStart"/>
      <w:r w:rsidRPr="00E40ABA">
        <w:rPr>
          <w:rFonts w:asciiTheme="minorHAnsi" w:hAnsiTheme="minorHAnsi" w:cstheme="minorHAnsi"/>
        </w:rPr>
        <w:t>XGBoost</w:t>
      </w:r>
      <w:proofErr w:type="spellEnd"/>
      <w:r w:rsidRPr="00E40ABA">
        <w:rPr>
          <w:rFonts w:asciiTheme="minorHAnsi" w:hAnsiTheme="minorHAnsi" w:cstheme="minorHAnsi"/>
        </w:rPr>
        <w:t xml:space="preserve"> was selected as the final model, edging out the other candidates on test ROC-AUC while retaining strong recall — a better fit for a retention use case than the untuned Gradient Boosting model, which had the highest raw ROC-AUC but weaker recall.</w:t>
      </w:r>
    </w:p>
    <w:p w14:paraId="7A660C3C" w14:textId="77777777" w:rsidR="00B22F5D" w:rsidRPr="00E40ABA" w:rsidRDefault="00000000">
      <w:pPr>
        <w:pStyle w:val="Heading2"/>
        <w:rPr>
          <w:rFonts w:asciiTheme="minorHAnsi" w:hAnsiTheme="minorHAnsi" w:cstheme="minorHAnsi"/>
        </w:rPr>
      </w:pPr>
      <w:r w:rsidRPr="00E40ABA">
        <w:rPr>
          <w:rFonts w:asciiTheme="minorHAnsi" w:hAnsiTheme="minorHAnsi" w:cstheme="minorHAnsi"/>
        </w:rPr>
        <w:t>5.3 Final Model Performance</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460"/>
      </w:tblGrid>
      <w:tr w:rsidR="00B22F5D" w:rsidRPr="00E40ABA" w14:paraId="32FD5C9D" w14:textId="77777777">
        <w:trPr>
          <w:tblHeader/>
        </w:trPr>
        <w:tc>
          <w:tcPr>
            <w:tcW w:w="4500" w:type="dxa"/>
            <w:shd w:val="clear" w:color="auto" w:fill="1F4E79"/>
            <w:tcMar>
              <w:top w:w="80" w:type="dxa"/>
              <w:left w:w="100" w:type="dxa"/>
              <w:bottom w:w="80" w:type="dxa"/>
              <w:right w:w="100" w:type="dxa"/>
            </w:tcMar>
          </w:tcPr>
          <w:p w14:paraId="37F04B04" w14:textId="77777777" w:rsidR="00B22F5D" w:rsidRPr="00E40ABA" w:rsidRDefault="00000000">
            <w:pPr>
              <w:rPr>
                <w:rFonts w:asciiTheme="minorHAnsi" w:hAnsiTheme="minorHAnsi" w:cstheme="minorHAnsi"/>
              </w:rPr>
            </w:pPr>
            <w:r w:rsidRPr="00E40ABA">
              <w:rPr>
                <w:rFonts w:asciiTheme="minorHAnsi" w:hAnsiTheme="minorHAnsi" w:cstheme="minorHAnsi"/>
                <w:b/>
                <w:bCs/>
                <w:color w:val="FFFFFF"/>
                <w:sz w:val="20"/>
                <w:szCs w:val="20"/>
              </w:rPr>
              <w:lastRenderedPageBreak/>
              <w:t>Metric</w:t>
            </w:r>
          </w:p>
        </w:tc>
        <w:tc>
          <w:tcPr>
            <w:tcW w:w="4460" w:type="dxa"/>
            <w:shd w:val="clear" w:color="auto" w:fill="1F4E79"/>
            <w:tcMar>
              <w:top w:w="80" w:type="dxa"/>
              <w:left w:w="100" w:type="dxa"/>
              <w:bottom w:w="80" w:type="dxa"/>
              <w:right w:w="100" w:type="dxa"/>
            </w:tcMar>
          </w:tcPr>
          <w:p w14:paraId="187A9D9D" w14:textId="77777777" w:rsidR="00B22F5D" w:rsidRPr="00E40ABA" w:rsidRDefault="00000000">
            <w:pPr>
              <w:rPr>
                <w:rFonts w:asciiTheme="minorHAnsi" w:hAnsiTheme="minorHAnsi" w:cstheme="minorHAnsi"/>
              </w:rPr>
            </w:pPr>
            <w:r w:rsidRPr="00E40ABA">
              <w:rPr>
                <w:rFonts w:asciiTheme="minorHAnsi" w:hAnsiTheme="minorHAnsi" w:cstheme="minorHAnsi"/>
                <w:b/>
                <w:bCs/>
                <w:color w:val="FFFFFF"/>
                <w:sz w:val="20"/>
                <w:szCs w:val="20"/>
              </w:rPr>
              <w:t>Value</w:t>
            </w:r>
          </w:p>
        </w:tc>
      </w:tr>
      <w:tr w:rsidR="00B22F5D" w:rsidRPr="00E40ABA" w14:paraId="4BB3D916" w14:textId="77777777">
        <w:tc>
          <w:tcPr>
            <w:tcW w:w="4500" w:type="dxa"/>
            <w:shd w:val="clear" w:color="auto" w:fill="FFFFFF"/>
            <w:tcMar>
              <w:top w:w="80" w:type="dxa"/>
              <w:left w:w="100" w:type="dxa"/>
              <w:bottom w:w="80" w:type="dxa"/>
              <w:right w:w="100" w:type="dxa"/>
            </w:tcMar>
          </w:tcPr>
          <w:p w14:paraId="3CD6BEF0"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Accuracy</w:t>
            </w:r>
          </w:p>
        </w:tc>
        <w:tc>
          <w:tcPr>
            <w:tcW w:w="4460" w:type="dxa"/>
            <w:shd w:val="clear" w:color="auto" w:fill="FFFFFF"/>
            <w:tcMar>
              <w:top w:w="80" w:type="dxa"/>
              <w:left w:w="100" w:type="dxa"/>
              <w:bottom w:w="80" w:type="dxa"/>
              <w:right w:w="100" w:type="dxa"/>
            </w:tcMar>
          </w:tcPr>
          <w:p w14:paraId="1567D71B"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80.3%</w:t>
            </w:r>
          </w:p>
        </w:tc>
      </w:tr>
      <w:tr w:rsidR="00B22F5D" w:rsidRPr="00E40ABA" w14:paraId="749F83C7" w14:textId="77777777">
        <w:tc>
          <w:tcPr>
            <w:tcW w:w="4500" w:type="dxa"/>
            <w:shd w:val="clear" w:color="auto" w:fill="DCE6F1"/>
            <w:tcMar>
              <w:top w:w="80" w:type="dxa"/>
              <w:left w:w="100" w:type="dxa"/>
              <w:bottom w:w="80" w:type="dxa"/>
              <w:right w:w="100" w:type="dxa"/>
            </w:tcMar>
          </w:tcPr>
          <w:p w14:paraId="4D9BF643"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Precision</w:t>
            </w:r>
          </w:p>
        </w:tc>
        <w:tc>
          <w:tcPr>
            <w:tcW w:w="4460" w:type="dxa"/>
            <w:shd w:val="clear" w:color="auto" w:fill="DCE6F1"/>
            <w:tcMar>
              <w:top w:w="80" w:type="dxa"/>
              <w:left w:w="100" w:type="dxa"/>
              <w:bottom w:w="80" w:type="dxa"/>
              <w:right w:w="100" w:type="dxa"/>
            </w:tcMar>
          </w:tcPr>
          <w:p w14:paraId="734336F0"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51.1%</w:t>
            </w:r>
          </w:p>
        </w:tc>
      </w:tr>
      <w:tr w:rsidR="00B22F5D" w:rsidRPr="00E40ABA" w14:paraId="146286C7" w14:textId="77777777">
        <w:tc>
          <w:tcPr>
            <w:tcW w:w="4500" w:type="dxa"/>
            <w:shd w:val="clear" w:color="auto" w:fill="FFFFFF"/>
            <w:tcMar>
              <w:top w:w="80" w:type="dxa"/>
              <w:left w:w="100" w:type="dxa"/>
              <w:bottom w:w="80" w:type="dxa"/>
              <w:right w:w="100" w:type="dxa"/>
            </w:tcMar>
          </w:tcPr>
          <w:p w14:paraId="268F6D65"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Recall</w:t>
            </w:r>
          </w:p>
        </w:tc>
        <w:tc>
          <w:tcPr>
            <w:tcW w:w="4460" w:type="dxa"/>
            <w:shd w:val="clear" w:color="auto" w:fill="FFFFFF"/>
            <w:tcMar>
              <w:top w:w="80" w:type="dxa"/>
              <w:left w:w="100" w:type="dxa"/>
              <w:bottom w:w="80" w:type="dxa"/>
              <w:right w:w="100" w:type="dxa"/>
            </w:tcMar>
          </w:tcPr>
          <w:p w14:paraId="67647828"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76.2%</w:t>
            </w:r>
          </w:p>
        </w:tc>
      </w:tr>
      <w:tr w:rsidR="00B22F5D" w:rsidRPr="00E40ABA" w14:paraId="10525216" w14:textId="77777777">
        <w:tc>
          <w:tcPr>
            <w:tcW w:w="4500" w:type="dxa"/>
            <w:shd w:val="clear" w:color="auto" w:fill="DCE6F1"/>
            <w:tcMar>
              <w:top w:w="80" w:type="dxa"/>
              <w:left w:w="100" w:type="dxa"/>
              <w:bottom w:w="80" w:type="dxa"/>
              <w:right w:w="100" w:type="dxa"/>
            </w:tcMar>
          </w:tcPr>
          <w:p w14:paraId="22D93784"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F1 Score</w:t>
            </w:r>
          </w:p>
        </w:tc>
        <w:tc>
          <w:tcPr>
            <w:tcW w:w="4460" w:type="dxa"/>
            <w:shd w:val="clear" w:color="auto" w:fill="DCE6F1"/>
            <w:tcMar>
              <w:top w:w="80" w:type="dxa"/>
              <w:left w:w="100" w:type="dxa"/>
              <w:bottom w:w="80" w:type="dxa"/>
              <w:right w:w="100" w:type="dxa"/>
            </w:tcMar>
          </w:tcPr>
          <w:p w14:paraId="023397C7"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0.611</w:t>
            </w:r>
          </w:p>
        </w:tc>
      </w:tr>
      <w:tr w:rsidR="00B22F5D" w:rsidRPr="00E40ABA" w14:paraId="7EC71800" w14:textId="77777777">
        <w:tc>
          <w:tcPr>
            <w:tcW w:w="4500" w:type="dxa"/>
            <w:shd w:val="clear" w:color="auto" w:fill="FFFFFF"/>
            <w:tcMar>
              <w:top w:w="80" w:type="dxa"/>
              <w:left w:w="100" w:type="dxa"/>
              <w:bottom w:w="80" w:type="dxa"/>
              <w:right w:w="100" w:type="dxa"/>
            </w:tcMar>
          </w:tcPr>
          <w:p w14:paraId="4123D097"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ROC-AUC</w:t>
            </w:r>
          </w:p>
        </w:tc>
        <w:tc>
          <w:tcPr>
            <w:tcW w:w="4460" w:type="dxa"/>
            <w:shd w:val="clear" w:color="auto" w:fill="FFFFFF"/>
            <w:tcMar>
              <w:top w:w="80" w:type="dxa"/>
              <w:left w:w="100" w:type="dxa"/>
              <w:bottom w:w="80" w:type="dxa"/>
              <w:right w:w="100" w:type="dxa"/>
            </w:tcMar>
          </w:tcPr>
          <w:p w14:paraId="1605FCFC" w14:textId="77777777" w:rsidR="00B22F5D" w:rsidRPr="00E40ABA" w:rsidRDefault="00000000">
            <w:pPr>
              <w:rPr>
                <w:rFonts w:asciiTheme="minorHAnsi" w:hAnsiTheme="minorHAnsi" w:cstheme="minorHAnsi"/>
              </w:rPr>
            </w:pPr>
            <w:r w:rsidRPr="00E40ABA">
              <w:rPr>
                <w:rFonts w:asciiTheme="minorHAnsi" w:hAnsiTheme="minorHAnsi" w:cstheme="minorHAnsi"/>
                <w:color w:val="000000"/>
                <w:sz w:val="20"/>
                <w:szCs w:val="20"/>
              </w:rPr>
              <w:t>0.870</w:t>
            </w:r>
          </w:p>
        </w:tc>
      </w:tr>
    </w:tbl>
    <w:p w14:paraId="36F0AAA4" w14:textId="77777777" w:rsidR="00B22F5D" w:rsidRPr="00E40ABA" w:rsidRDefault="00B22F5D">
      <w:pPr>
        <w:spacing w:after="160"/>
        <w:rPr>
          <w:rFonts w:asciiTheme="minorHAnsi" w:hAnsiTheme="minorHAnsi" w:cstheme="minorHAnsi"/>
        </w:rPr>
      </w:pPr>
    </w:p>
    <w:p w14:paraId="49CF2C1F" w14:textId="77777777" w:rsidR="00B22F5D" w:rsidRPr="00E40ABA" w:rsidRDefault="00000000">
      <w:pPr>
        <w:spacing w:after="80"/>
        <w:jc w:val="center"/>
        <w:rPr>
          <w:rFonts w:asciiTheme="minorHAnsi" w:hAnsiTheme="minorHAnsi" w:cstheme="minorHAnsi"/>
        </w:rPr>
      </w:pPr>
      <w:r w:rsidRPr="00E40ABA">
        <w:rPr>
          <w:rFonts w:asciiTheme="minorHAnsi" w:hAnsiTheme="minorHAnsi" w:cstheme="minorHAnsi"/>
          <w:noProof/>
        </w:rPr>
        <w:drawing>
          <wp:inline distT="0" distB="0" distL="0" distR="0" wp14:anchorId="589B2F40" wp14:editId="5470874F">
            <wp:extent cx="3238500" cy="2854371"/>
            <wp:effectExtent l="0" t="0" r="0" b="0"/>
            <wp:docPr id="1190688831" name="Picture 1190688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2854371"/>
                    </a:xfrm>
                    <a:prstGeom prst="rect">
                      <a:avLst/>
                    </a:prstGeom>
                  </pic:spPr>
                </pic:pic>
              </a:graphicData>
            </a:graphic>
          </wp:inline>
        </w:drawing>
      </w:r>
    </w:p>
    <w:p w14:paraId="2BDC733C" w14:textId="77777777" w:rsidR="00B22F5D" w:rsidRPr="00E40ABA" w:rsidRDefault="00000000">
      <w:pPr>
        <w:spacing w:after="260"/>
        <w:jc w:val="center"/>
        <w:rPr>
          <w:rFonts w:asciiTheme="minorHAnsi" w:hAnsiTheme="minorHAnsi" w:cstheme="minorHAnsi"/>
        </w:rPr>
      </w:pPr>
      <w:r w:rsidRPr="00E40ABA">
        <w:rPr>
          <w:rFonts w:asciiTheme="minorHAnsi" w:hAnsiTheme="minorHAnsi" w:cstheme="minorHAnsi"/>
          <w:i/>
          <w:iCs/>
          <w:color w:val="555555"/>
          <w:sz w:val="19"/>
          <w:szCs w:val="19"/>
        </w:rPr>
        <w:t xml:space="preserve">Figure 5. Confusion matrix — final tuned </w:t>
      </w:r>
      <w:proofErr w:type="spellStart"/>
      <w:r w:rsidRPr="00E40ABA">
        <w:rPr>
          <w:rFonts w:asciiTheme="minorHAnsi" w:hAnsiTheme="minorHAnsi" w:cstheme="minorHAnsi"/>
          <w:i/>
          <w:iCs/>
          <w:color w:val="555555"/>
          <w:sz w:val="19"/>
          <w:szCs w:val="19"/>
        </w:rPr>
        <w:t>XGBoost</w:t>
      </w:r>
      <w:proofErr w:type="spellEnd"/>
      <w:r w:rsidRPr="00E40ABA">
        <w:rPr>
          <w:rFonts w:asciiTheme="minorHAnsi" w:hAnsiTheme="minorHAnsi" w:cstheme="minorHAnsi"/>
          <w:i/>
          <w:iCs/>
          <w:color w:val="555555"/>
          <w:sz w:val="19"/>
          <w:szCs w:val="19"/>
        </w:rPr>
        <w:t xml:space="preserve"> model on the held-out test set (2,000 customers).</w:t>
      </w:r>
    </w:p>
    <w:p w14:paraId="433D93B2" w14:textId="77777777" w:rsidR="00B22F5D" w:rsidRPr="00E40ABA" w:rsidRDefault="00000000">
      <w:pPr>
        <w:spacing w:after="160"/>
        <w:rPr>
          <w:rFonts w:asciiTheme="minorHAnsi" w:hAnsiTheme="minorHAnsi" w:cstheme="minorHAnsi"/>
        </w:rPr>
      </w:pPr>
      <w:r w:rsidRPr="00E40ABA">
        <w:rPr>
          <w:rFonts w:asciiTheme="minorHAnsi" w:hAnsiTheme="minorHAnsi" w:cstheme="minorHAnsi"/>
        </w:rPr>
        <w:t>The final model correctly identifies roughly 3 in 4 actual churners (76% recall) while keeping the false-positive rate manageable, making it suitable as a screening tool to prioritize retention outreach rather than as a fully automated decision system.</w:t>
      </w:r>
    </w:p>
    <w:p w14:paraId="2C57F7C5" w14:textId="77777777" w:rsidR="00B22F5D" w:rsidRPr="00E40ABA" w:rsidRDefault="00000000">
      <w:pPr>
        <w:pStyle w:val="Heading2"/>
        <w:rPr>
          <w:rFonts w:asciiTheme="minorHAnsi" w:hAnsiTheme="minorHAnsi" w:cstheme="minorHAnsi"/>
        </w:rPr>
      </w:pPr>
      <w:r w:rsidRPr="00E40ABA">
        <w:rPr>
          <w:rFonts w:asciiTheme="minorHAnsi" w:hAnsiTheme="minorHAnsi" w:cstheme="minorHAnsi"/>
        </w:rPr>
        <w:t>5.4 Feature Importance</w:t>
      </w:r>
    </w:p>
    <w:p w14:paraId="45C90DD1" w14:textId="77777777" w:rsidR="00B22F5D" w:rsidRPr="00E40ABA" w:rsidRDefault="00000000">
      <w:pPr>
        <w:spacing w:after="80"/>
        <w:jc w:val="center"/>
        <w:rPr>
          <w:rFonts w:asciiTheme="minorHAnsi" w:hAnsiTheme="minorHAnsi" w:cstheme="minorHAnsi"/>
        </w:rPr>
      </w:pPr>
      <w:r w:rsidRPr="00E40ABA">
        <w:rPr>
          <w:rFonts w:asciiTheme="minorHAnsi" w:hAnsiTheme="minorHAnsi" w:cstheme="minorHAnsi"/>
          <w:noProof/>
        </w:rPr>
        <w:lastRenderedPageBreak/>
        <w:drawing>
          <wp:inline distT="0" distB="0" distL="0" distR="0" wp14:anchorId="7C03D277" wp14:editId="39AE073B">
            <wp:extent cx="4000500" cy="2839405"/>
            <wp:effectExtent l="0" t="0" r="0" b="0"/>
            <wp:docPr id="2059198018" name="Picture 2059198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839405"/>
                    </a:xfrm>
                    <a:prstGeom prst="rect">
                      <a:avLst/>
                    </a:prstGeom>
                  </pic:spPr>
                </pic:pic>
              </a:graphicData>
            </a:graphic>
          </wp:inline>
        </w:drawing>
      </w:r>
    </w:p>
    <w:p w14:paraId="4D23EF2E" w14:textId="77777777" w:rsidR="00B22F5D" w:rsidRPr="00E40ABA" w:rsidRDefault="00000000">
      <w:pPr>
        <w:spacing w:after="260"/>
        <w:jc w:val="center"/>
        <w:rPr>
          <w:rFonts w:asciiTheme="minorHAnsi" w:hAnsiTheme="minorHAnsi" w:cstheme="minorHAnsi"/>
        </w:rPr>
      </w:pPr>
      <w:r w:rsidRPr="00E40ABA">
        <w:rPr>
          <w:rFonts w:asciiTheme="minorHAnsi" w:hAnsiTheme="minorHAnsi" w:cstheme="minorHAnsi"/>
          <w:i/>
          <w:iCs/>
          <w:color w:val="555555"/>
          <w:sz w:val="19"/>
          <w:szCs w:val="19"/>
        </w:rPr>
        <w:t xml:space="preserve">Figure 6. Top 10 feature importances, final tuned </w:t>
      </w:r>
      <w:proofErr w:type="spellStart"/>
      <w:r w:rsidRPr="00E40ABA">
        <w:rPr>
          <w:rFonts w:asciiTheme="minorHAnsi" w:hAnsiTheme="minorHAnsi" w:cstheme="minorHAnsi"/>
          <w:i/>
          <w:iCs/>
          <w:color w:val="555555"/>
          <w:sz w:val="19"/>
          <w:szCs w:val="19"/>
        </w:rPr>
        <w:t>XGBoost</w:t>
      </w:r>
      <w:proofErr w:type="spellEnd"/>
      <w:r w:rsidRPr="00E40ABA">
        <w:rPr>
          <w:rFonts w:asciiTheme="minorHAnsi" w:hAnsiTheme="minorHAnsi" w:cstheme="minorHAnsi"/>
          <w:i/>
          <w:iCs/>
          <w:color w:val="555555"/>
          <w:sz w:val="19"/>
          <w:szCs w:val="19"/>
        </w:rPr>
        <w:t xml:space="preserve"> model.</w:t>
      </w:r>
    </w:p>
    <w:p w14:paraId="769B92E5" w14:textId="77777777" w:rsidR="00B22F5D" w:rsidRPr="00E40ABA" w:rsidRDefault="00000000">
      <w:pPr>
        <w:spacing w:after="160"/>
        <w:rPr>
          <w:rFonts w:asciiTheme="minorHAnsi" w:hAnsiTheme="minorHAnsi" w:cstheme="minorHAnsi"/>
        </w:rPr>
      </w:pPr>
      <w:r w:rsidRPr="00E40ABA">
        <w:rPr>
          <w:rFonts w:asciiTheme="minorHAnsi" w:hAnsiTheme="minorHAnsi" w:cstheme="minorHAnsi"/>
        </w:rPr>
        <w:t>Number of products (25.7%) and age (17.9%) are the dominant predictors, followed by active membership status (14.0%) and being based in Germany (10.4%). This mirrors and validates the descriptive segmentation findings in Section 3 — the model is not surfacing a hidden driver so much as confirming, and precisely weighting, the same factors the EDA flagged, with product count and age as the two variables that matter most.</w:t>
      </w:r>
    </w:p>
    <w:p w14:paraId="495F5D91" w14:textId="77777777" w:rsidR="00B22F5D" w:rsidRPr="00E40ABA" w:rsidRDefault="00000000">
      <w:pPr>
        <w:rPr>
          <w:rFonts w:asciiTheme="minorHAnsi" w:hAnsiTheme="minorHAnsi" w:cstheme="minorHAnsi"/>
        </w:rPr>
      </w:pPr>
      <w:r w:rsidRPr="00E40ABA">
        <w:rPr>
          <w:rFonts w:asciiTheme="minorHAnsi" w:hAnsiTheme="minorHAnsi" w:cstheme="minorHAnsi"/>
        </w:rPr>
        <w:br w:type="page"/>
      </w:r>
    </w:p>
    <w:p w14:paraId="6A955F9C" w14:textId="77777777" w:rsidR="00B22F5D" w:rsidRPr="00E40ABA" w:rsidRDefault="00000000">
      <w:pPr>
        <w:pStyle w:val="Heading1"/>
        <w:rPr>
          <w:rFonts w:asciiTheme="minorHAnsi" w:hAnsiTheme="minorHAnsi" w:cstheme="minorHAnsi"/>
        </w:rPr>
      </w:pPr>
      <w:r w:rsidRPr="00E40ABA">
        <w:rPr>
          <w:rFonts w:asciiTheme="minorHAnsi" w:hAnsiTheme="minorHAnsi" w:cstheme="minorHAnsi"/>
        </w:rPr>
        <w:lastRenderedPageBreak/>
        <w:t>6. Business Insights</w:t>
      </w:r>
    </w:p>
    <w:p w14:paraId="7F81DF00" w14:textId="77777777" w:rsidR="00B22F5D" w:rsidRPr="00E40ABA" w:rsidRDefault="00000000">
      <w:pPr>
        <w:pStyle w:val="ListParagraph"/>
        <w:numPr>
          <w:ilvl w:val="0"/>
          <w:numId w:val="1"/>
        </w:numPr>
        <w:spacing w:after="80"/>
        <w:rPr>
          <w:rFonts w:asciiTheme="minorHAnsi" w:hAnsiTheme="minorHAnsi" w:cstheme="minorHAnsi"/>
        </w:rPr>
      </w:pPr>
      <w:r w:rsidRPr="00E40ABA">
        <w:rPr>
          <w:rFonts w:asciiTheme="minorHAnsi" w:hAnsiTheme="minorHAnsi" w:cstheme="minorHAnsi"/>
        </w:rPr>
        <w:t>Germany is a structurally higher-risk market (32.4% churn, ~2x France/Spain) across every age band — this points to a market-level issue (competition, product-market fit, or service quality) rather than a demographic artifact.</w:t>
      </w:r>
    </w:p>
    <w:p w14:paraId="34550274" w14:textId="77777777" w:rsidR="00B22F5D" w:rsidRPr="00E40ABA" w:rsidRDefault="00000000">
      <w:pPr>
        <w:pStyle w:val="ListParagraph"/>
        <w:numPr>
          <w:ilvl w:val="0"/>
          <w:numId w:val="1"/>
        </w:numPr>
        <w:spacing w:after="80"/>
        <w:rPr>
          <w:rFonts w:asciiTheme="minorHAnsi" w:hAnsiTheme="minorHAnsi" w:cstheme="minorHAnsi"/>
        </w:rPr>
      </w:pPr>
      <w:r w:rsidRPr="00E40ABA">
        <w:rPr>
          <w:rFonts w:asciiTheme="minorHAnsi" w:hAnsiTheme="minorHAnsi" w:cstheme="minorHAnsi"/>
        </w:rPr>
        <w:t>The Germany × 46–60 combination is the single highest-risk segment in the dataset at 67.3% churn — nearly seven times the rate of France's under-30 customers — indicating the two risk factors compound rather than overlap.</w:t>
      </w:r>
    </w:p>
    <w:p w14:paraId="3C4BF4EE" w14:textId="77777777" w:rsidR="00B22F5D" w:rsidRPr="00E40ABA" w:rsidRDefault="00000000">
      <w:pPr>
        <w:pStyle w:val="ListParagraph"/>
        <w:numPr>
          <w:ilvl w:val="0"/>
          <w:numId w:val="1"/>
        </w:numPr>
        <w:spacing w:after="80"/>
        <w:rPr>
          <w:rFonts w:asciiTheme="minorHAnsi" w:hAnsiTheme="minorHAnsi" w:cstheme="minorHAnsi"/>
        </w:rPr>
      </w:pPr>
      <w:r w:rsidRPr="00E40ABA">
        <w:rPr>
          <w:rFonts w:asciiTheme="minorHAnsi" w:hAnsiTheme="minorHAnsi" w:cstheme="minorHAnsi"/>
        </w:rPr>
        <w:t>The 46–60 age band is the highest-risk demographic segment bank-wide (51.1% churn) and compounds with, rather than being explained by, the Germany effect.</w:t>
      </w:r>
    </w:p>
    <w:p w14:paraId="490031AA" w14:textId="77777777" w:rsidR="00B22F5D" w:rsidRPr="00E40ABA" w:rsidRDefault="00000000">
      <w:pPr>
        <w:pStyle w:val="ListParagraph"/>
        <w:numPr>
          <w:ilvl w:val="0"/>
          <w:numId w:val="1"/>
        </w:numPr>
        <w:spacing w:after="80"/>
        <w:rPr>
          <w:rFonts w:asciiTheme="minorHAnsi" w:hAnsiTheme="minorHAnsi" w:cstheme="minorHAnsi"/>
        </w:rPr>
      </w:pPr>
      <w:r w:rsidRPr="00E40ABA">
        <w:rPr>
          <w:rFonts w:asciiTheme="minorHAnsi" w:hAnsiTheme="minorHAnsi" w:cstheme="minorHAnsi"/>
        </w:rPr>
        <w:t>Customers holding 3–4 products churn at 83–100% — this small but extreme segment likely reflects over-selling, service friction, or customers already mid-exit, and should be investigated directly rather than assumed to be a data artifact.</w:t>
      </w:r>
    </w:p>
    <w:p w14:paraId="277E337B" w14:textId="77777777" w:rsidR="00B22F5D" w:rsidRPr="00E40ABA" w:rsidRDefault="00000000">
      <w:pPr>
        <w:pStyle w:val="ListParagraph"/>
        <w:numPr>
          <w:ilvl w:val="0"/>
          <w:numId w:val="1"/>
        </w:numPr>
        <w:spacing w:after="80"/>
        <w:rPr>
          <w:rFonts w:asciiTheme="minorHAnsi" w:hAnsiTheme="minorHAnsi" w:cstheme="minorHAnsi"/>
        </w:rPr>
      </w:pPr>
      <w:r w:rsidRPr="00E40ABA">
        <w:rPr>
          <w:rFonts w:asciiTheme="minorHAnsi" w:hAnsiTheme="minorHAnsi" w:cstheme="minorHAnsi"/>
        </w:rPr>
        <w:t>Inactive members churn at nearly double the rate of active members (26.9% vs 14.3%), and this is both observable ahead of time and directly addressable through re-engagement.</w:t>
      </w:r>
    </w:p>
    <w:p w14:paraId="2F89BEAA" w14:textId="77777777" w:rsidR="00B22F5D" w:rsidRPr="00E40ABA" w:rsidRDefault="00000000">
      <w:pPr>
        <w:pStyle w:val="ListParagraph"/>
        <w:numPr>
          <w:ilvl w:val="0"/>
          <w:numId w:val="1"/>
        </w:numPr>
        <w:spacing w:after="80"/>
        <w:rPr>
          <w:rFonts w:asciiTheme="minorHAnsi" w:hAnsiTheme="minorHAnsi" w:cstheme="minorHAnsi"/>
        </w:rPr>
      </w:pPr>
      <w:r w:rsidRPr="00E40ABA">
        <w:rPr>
          <w:rFonts w:asciiTheme="minorHAnsi" w:hAnsiTheme="minorHAnsi" w:cstheme="minorHAnsi"/>
        </w:rPr>
        <w:t>Nearly half of all churn (47.6%) is concentrated among high-value customers, who represent a disproportionate share of at-risk revenue relative to their share of the customer base.</w:t>
      </w:r>
    </w:p>
    <w:p w14:paraId="52645673" w14:textId="77777777" w:rsidR="00B22F5D" w:rsidRPr="00E40ABA" w:rsidRDefault="00000000">
      <w:pPr>
        <w:pStyle w:val="ListParagraph"/>
        <w:numPr>
          <w:ilvl w:val="0"/>
          <w:numId w:val="1"/>
        </w:numPr>
        <w:spacing w:after="80"/>
        <w:rPr>
          <w:rFonts w:asciiTheme="minorHAnsi" w:hAnsiTheme="minorHAnsi" w:cstheme="minorHAnsi"/>
        </w:rPr>
      </w:pPr>
      <w:r w:rsidRPr="00E40ABA">
        <w:rPr>
          <w:rFonts w:asciiTheme="minorHAnsi" w:hAnsiTheme="minorHAnsi" w:cstheme="minorHAnsi"/>
        </w:rPr>
        <w:t>The predictive model confirms these patterns quantitatively: product count, age, activity status, and Germany geography are the four strongest predictors of individual churn risk.</w:t>
      </w:r>
    </w:p>
    <w:p w14:paraId="6E5559AF" w14:textId="77777777" w:rsidR="00B22F5D" w:rsidRPr="00E40ABA" w:rsidRDefault="00000000">
      <w:pPr>
        <w:pStyle w:val="Heading1"/>
        <w:rPr>
          <w:rFonts w:asciiTheme="minorHAnsi" w:hAnsiTheme="minorHAnsi" w:cstheme="minorHAnsi"/>
        </w:rPr>
      </w:pPr>
      <w:r w:rsidRPr="00E40ABA">
        <w:rPr>
          <w:rFonts w:asciiTheme="minorHAnsi" w:hAnsiTheme="minorHAnsi" w:cstheme="minorHAnsi"/>
        </w:rPr>
        <w:t>7. Recommendations</w:t>
      </w:r>
    </w:p>
    <w:p w14:paraId="5B5E7B98" w14:textId="77777777" w:rsidR="00B22F5D" w:rsidRPr="00E40ABA" w:rsidRDefault="00000000">
      <w:pPr>
        <w:pStyle w:val="ListParagraph"/>
        <w:numPr>
          <w:ilvl w:val="0"/>
          <w:numId w:val="1"/>
        </w:numPr>
        <w:spacing w:after="80"/>
        <w:rPr>
          <w:rFonts w:asciiTheme="minorHAnsi" w:hAnsiTheme="minorHAnsi" w:cstheme="minorHAnsi"/>
        </w:rPr>
      </w:pPr>
      <w:r w:rsidRPr="00E40ABA">
        <w:rPr>
          <w:rFonts w:asciiTheme="minorHAnsi" w:hAnsiTheme="minorHAnsi" w:cstheme="minorHAnsi"/>
        </w:rPr>
        <w:t>Prioritize a Germany-specific retention review — investigate local competitive dynamics, pricing, and service quality given the consistently elevated churn across all demographics in that market.</w:t>
      </w:r>
    </w:p>
    <w:p w14:paraId="52B85B25" w14:textId="77777777" w:rsidR="00B22F5D" w:rsidRPr="00E40ABA" w:rsidRDefault="00000000">
      <w:pPr>
        <w:pStyle w:val="ListParagraph"/>
        <w:numPr>
          <w:ilvl w:val="0"/>
          <w:numId w:val="1"/>
        </w:numPr>
        <w:spacing w:after="80"/>
        <w:rPr>
          <w:rFonts w:asciiTheme="minorHAnsi" w:hAnsiTheme="minorHAnsi" w:cstheme="minorHAnsi"/>
        </w:rPr>
      </w:pPr>
      <w:r w:rsidRPr="00E40ABA">
        <w:rPr>
          <w:rFonts w:asciiTheme="minorHAnsi" w:hAnsiTheme="minorHAnsi" w:cstheme="minorHAnsi"/>
        </w:rPr>
        <w:t>Treat German customers aged 46–60 as the top-priority retention segment: at 67.3% churn, this compounding risk group should be first in line for proactive outreach, relationship-manager attention, and tailored offers.</w:t>
      </w:r>
    </w:p>
    <w:p w14:paraId="058D8DFC" w14:textId="77777777" w:rsidR="00B22F5D" w:rsidRPr="00E40ABA" w:rsidRDefault="00000000">
      <w:pPr>
        <w:pStyle w:val="ListParagraph"/>
        <w:numPr>
          <w:ilvl w:val="0"/>
          <w:numId w:val="1"/>
        </w:numPr>
        <w:spacing w:after="80"/>
        <w:rPr>
          <w:rFonts w:asciiTheme="minorHAnsi" w:hAnsiTheme="minorHAnsi" w:cstheme="minorHAnsi"/>
        </w:rPr>
      </w:pPr>
      <w:r w:rsidRPr="00E40ABA">
        <w:rPr>
          <w:rFonts w:asciiTheme="minorHAnsi" w:hAnsiTheme="minorHAnsi" w:cstheme="minorHAnsi"/>
        </w:rPr>
        <w:t>Design targeted outreach for the 46–60 age segment, testing whether tailored product bundles or advisory touchpoints (e.g. retirement planning) reduce churn in this life stage.</w:t>
      </w:r>
    </w:p>
    <w:p w14:paraId="228CB379" w14:textId="77777777" w:rsidR="00B22F5D" w:rsidRPr="00E40ABA" w:rsidRDefault="00000000">
      <w:pPr>
        <w:pStyle w:val="ListParagraph"/>
        <w:numPr>
          <w:ilvl w:val="0"/>
          <w:numId w:val="1"/>
        </w:numPr>
        <w:spacing w:after="80"/>
        <w:rPr>
          <w:rFonts w:asciiTheme="minorHAnsi" w:hAnsiTheme="minorHAnsi" w:cstheme="minorHAnsi"/>
        </w:rPr>
      </w:pPr>
      <w:r w:rsidRPr="00E40ABA">
        <w:rPr>
          <w:rFonts w:asciiTheme="minorHAnsi" w:hAnsiTheme="minorHAnsi" w:cstheme="minorHAnsi"/>
        </w:rPr>
        <w:t>Audit the 3–4 product holder segment directly — contact a sample of these customers to determine whether over-selling, service issues, or existing exit intent explains the extreme churn rate, and adjust cross-sell practices accordingly.</w:t>
      </w:r>
    </w:p>
    <w:p w14:paraId="0ACDE1E8" w14:textId="77777777" w:rsidR="00B22F5D" w:rsidRPr="00E40ABA" w:rsidRDefault="00000000">
      <w:pPr>
        <w:pStyle w:val="ListParagraph"/>
        <w:numPr>
          <w:ilvl w:val="0"/>
          <w:numId w:val="1"/>
        </w:numPr>
        <w:spacing w:after="80"/>
        <w:rPr>
          <w:rFonts w:asciiTheme="minorHAnsi" w:hAnsiTheme="minorHAnsi" w:cstheme="minorHAnsi"/>
        </w:rPr>
      </w:pPr>
      <w:r w:rsidRPr="00E40ABA">
        <w:rPr>
          <w:rFonts w:asciiTheme="minorHAnsi" w:hAnsiTheme="minorHAnsi" w:cstheme="minorHAnsi"/>
        </w:rPr>
        <w:t>Build a proactive re-engagement program for inactive members, since activity status is both a strong predictor and a directly actionable lever ahead of churn.</w:t>
      </w:r>
    </w:p>
    <w:p w14:paraId="1760368F" w14:textId="77777777" w:rsidR="00B22F5D" w:rsidRPr="00E40ABA" w:rsidRDefault="00000000">
      <w:pPr>
        <w:pStyle w:val="ListParagraph"/>
        <w:numPr>
          <w:ilvl w:val="0"/>
          <w:numId w:val="1"/>
        </w:numPr>
        <w:spacing w:after="80"/>
        <w:rPr>
          <w:rFonts w:asciiTheme="minorHAnsi" w:hAnsiTheme="minorHAnsi" w:cstheme="minorHAnsi"/>
        </w:rPr>
      </w:pPr>
      <w:r w:rsidRPr="00E40ABA">
        <w:rPr>
          <w:rFonts w:asciiTheme="minorHAnsi" w:hAnsiTheme="minorHAnsi" w:cstheme="minorHAnsi"/>
        </w:rPr>
        <w:t>Use the churn-probability model (Section 5) to generate a prioritized retention worklist, focusing outreach capacity on high-value, high-probability customers first, where the revenue impact of retention is greatest.</w:t>
      </w:r>
    </w:p>
    <w:p w14:paraId="6119C50B" w14:textId="77777777" w:rsidR="00B22F5D" w:rsidRPr="00E40ABA" w:rsidRDefault="00000000">
      <w:pPr>
        <w:pStyle w:val="ListParagraph"/>
        <w:numPr>
          <w:ilvl w:val="0"/>
          <w:numId w:val="1"/>
        </w:numPr>
        <w:spacing w:after="80"/>
        <w:rPr>
          <w:rFonts w:asciiTheme="minorHAnsi" w:hAnsiTheme="minorHAnsi" w:cstheme="minorHAnsi"/>
        </w:rPr>
      </w:pPr>
      <w:r w:rsidRPr="00E40ABA">
        <w:rPr>
          <w:rFonts w:asciiTheme="minorHAnsi" w:hAnsiTheme="minorHAnsi" w:cstheme="minorHAnsi"/>
        </w:rPr>
        <w:t>Track the engagement drop indicator and geographic risk index (defined in the accompanying dashboard) as ongoing KPIs, not one-time findings, so retention performance can be monitored over time.</w:t>
      </w:r>
    </w:p>
    <w:p w14:paraId="34A92092" w14:textId="77777777" w:rsidR="00B22F5D" w:rsidRPr="00E40ABA" w:rsidRDefault="00000000">
      <w:pPr>
        <w:pStyle w:val="Heading1"/>
        <w:rPr>
          <w:rFonts w:asciiTheme="minorHAnsi" w:hAnsiTheme="minorHAnsi" w:cstheme="minorHAnsi"/>
        </w:rPr>
      </w:pPr>
      <w:r w:rsidRPr="00E40ABA">
        <w:rPr>
          <w:rFonts w:asciiTheme="minorHAnsi" w:hAnsiTheme="minorHAnsi" w:cstheme="minorHAnsi"/>
        </w:rPr>
        <w:t>8. Limitations &amp; Future Work</w:t>
      </w:r>
    </w:p>
    <w:p w14:paraId="57535841" w14:textId="77777777" w:rsidR="00B22F5D" w:rsidRPr="00E40ABA" w:rsidRDefault="00000000">
      <w:pPr>
        <w:pStyle w:val="ListParagraph"/>
        <w:numPr>
          <w:ilvl w:val="0"/>
          <w:numId w:val="1"/>
        </w:numPr>
        <w:spacing w:after="80"/>
        <w:rPr>
          <w:rFonts w:asciiTheme="minorHAnsi" w:hAnsiTheme="minorHAnsi" w:cstheme="minorHAnsi"/>
        </w:rPr>
      </w:pPr>
      <w:r w:rsidRPr="00E40ABA">
        <w:rPr>
          <w:rFonts w:asciiTheme="minorHAnsi" w:hAnsiTheme="minorHAnsi" w:cstheme="minorHAnsi"/>
        </w:rPr>
        <w:t>The dataset is a single-year snapshot; without a time series, it is not possible to distinguish leading indicators of churn from concurrent symptoms, or to validate whether the model's predictions hold up over subsequent periods.</w:t>
      </w:r>
    </w:p>
    <w:p w14:paraId="336D9FF0" w14:textId="77777777" w:rsidR="00B22F5D" w:rsidRPr="00E40ABA" w:rsidRDefault="00000000">
      <w:pPr>
        <w:pStyle w:val="ListParagraph"/>
        <w:numPr>
          <w:ilvl w:val="0"/>
          <w:numId w:val="1"/>
        </w:numPr>
        <w:spacing w:after="80"/>
        <w:rPr>
          <w:rFonts w:asciiTheme="minorHAnsi" w:hAnsiTheme="minorHAnsi" w:cstheme="minorHAnsi"/>
        </w:rPr>
      </w:pPr>
      <w:r w:rsidRPr="00E40ABA">
        <w:rPr>
          <w:rFonts w:asciiTheme="minorHAnsi" w:hAnsiTheme="minorHAnsi" w:cstheme="minorHAnsi"/>
        </w:rPr>
        <w:lastRenderedPageBreak/>
        <w:t>The model's precision (51.1%) means roughly half of customers flagged as high-risk will not actually churn — appropriate for prioritizing outreach, but not for fully automated decisions (e.g. pre-emptively withdrawing an offer).</w:t>
      </w:r>
    </w:p>
    <w:p w14:paraId="0F9D8A5D" w14:textId="77777777" w:rsidR="00B22F5D" w:rsidRPr="00E40ABA" w:rsidRDefault="00000000">
      <w:pPr>
        <w:pStyle w:val="ListParagraph"/>
        <w:numPr>
          <w:ilvl w:val="0"/>
          <w:numId w:val="1"/>
        </w:numPr>
        <w:spacing w:after="80"/>
        <w:rPr>
          <w:rFonts w:asciiTheme="minorHAnsi" w:hAnsiTheme="minorHAnsi" w:cstheme="minorHAnsi"/>
        </w:rPr>
      </w:pPr>
      <w:r w:rsidRPr="00E40ABA">
        <w:rPr>
          <w:rFonts w:asciiTheme="minorHAnsi" w:hAnsiTheme="minorHAnsi" w:cstheme="minorHAnsi"/>
        </w:rPr>
        <w:t xml:space="preserve">The extreme churn rate among 3–4 product holders </w:t>
      </w:r>
      <w:proofErr w:type="gramStart"/>
      <w:r w:rsidRPr="00E40ABA">
        <w:rPr>
          <w:rFonts w:asciiTheme="minorHAnsi" w:hAnsiTheme="minorHAnsi" w:cstheme="minorHAnsi"/>
        </w:rPr>
        <w:t>is</w:t>
      </w:r>
      <w:proofErr w:type="gramEnd"/>
      <w:r w:rsidRPr="00E40ABA">
        <w:rPr>
          <w:rFonts w:asciiTheme="minorHAnsi" w:hAnsiTheme="minorHAnsi" w:cstheme="minorHAnsi"/>
        </w:rPr>
        <w:t xml:space="preserve"> based on a small subgroup (326 customers) and should be validated against a larger sample before being treated as a stable structural pattern.</w:t>
      </w:r>
    </w:p>
    <w:p w14:paraId="29D1D2E6" w14:textId="77777777" w:rsidR="00B22F5D" w:rsidRPr="00E40ABA" w:rsidRDefault="00000000">
      <w:pPr>
        <w:pStyle w:val="ListParagraph"/>
        <w:numPr>
          <w:ilvl w:val="0"/>
          <w:numId w:val="1"/>
        </w:numPr>
        <w:spacing w:after="80"/>
        <w:rPr>
          <w:rFonts w:asciiTheme="minorHAnsi" w:hAnsiTheme="minorHAnsi" w:cstheme="minorHAnsi"/>
        </w:rPr>
      </w:pPr>
      <w:r w:rsidRPr="00E40ABA">
        <w:rPr>
          <w:rFonts w:asciiTheme="minorHAnsi" w:hAnsiTheme="minorHAnsi" w:cstheme="minorHAnsi"/>
        </w:rPr>
        <w:t>No transaction-level, complaint, or customer-service interaction data was available; incorporating these would likely improve both model accuracy and the diagnostic depth of the segmentation.</w:t>
      </w:r>
    </w:p>
    <w:p w14:paraId="71949579" w14:textId="77777777" w:rsidR="00B22F5D" w:rsidRPr="00E40ABA" w:rsidRDefault="00000000">
      <w:pPr>
        <w:pStyle w:val="ListParagraph"/>
        <w:numPr>
          <w:ilvl w:val="0"/>
          <w:numId w:val="1"/>
        </w:numPr>
        <w:spacing w:after="80"/>
        <w:rPr>
          <w:rFonts w:asciiTheme="minorHAnsi" w:hAnsiTheme="minorHAnsi" w:cstheme="minorHAnsi"/>
        </w:rPr>
      </w:pPr>
      <w:r w:rsidRPr="00E40ABA">
        <w:rPr>
          <w:rFonts w:asciiTheme="minorHAnsi" w:hAnsiTheme="minorHAnsi" w:cstheme="minorHAnsi"/>
        </w:rPr>
        <w:t>Country-level churn differences are described here but not explained; a follow-up study incorporating competitor and macroeconomic data for Germany specifically would help distinguish bank-controllable factors from market-wide ones.</w:t>
      </w:r>
    </w:p>
    <w:sectPr w:rsidR="00B22F5D" w:rsidRPr="00E40AB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C70D8"/>
    <w:multiLevelType w:val="hybridMultilevel"/>
    <w:tmpl w:val="61C0651E"/>
    <w:lvl w:ilvl="0" w:tplc="85800EF4">
      <w:start w:val="1"/>
      <w:numFmt w:val="bullet"/>
      <w:lvlText w:val="●"/>
      <w:lvlJc w:val="left"/>
      <w:pPr>
        <w:ind w:left="720" w:hanging="360"/>
      </w:pPr>
    </w:lvl>
    <w:lvl w:ilvl="1" w:tplc="176853BC">
      <w:start w:val="1"/>
      <w:numFmt w:val="bullet"/>
      <w:lvlText w:val="○"/>
      <w:lvlJc w:val="left"/>
      <w:pPr>
        <w:ind w:left="1440" w:hanging="360"/>
      </w:pPr>
    </w:lvl>
    <w:lvl w:ilvl="2" w:tplc="E7C07108">
      <w:start w:val="1"/>
      <w:numFmt w:val="bullet"/>
      <w:lvlText w:val="■"/>
      <w:lvlJc w:val="left"/>
      <w:pPr>
        <w:ind w:left="2160" w:hanging="360"/>
      </w:pPr>
    </w:lvl>
    <w:lvl w:ilvl="3" w:tplc="9EF813DE">
      <w:start w:val="1"/>
      <w:numFmt w:val="bullet"/>
      <w:lvlText w:val="●"/>
      <w:lvlJc w:val="left"/>
      <w:pPr>
        <w:ind w:left="2880" w:hanging="360"/>
      </w:pPr>
    </w:lvl>
    <w:lvl w:ilvl="4" w:tplc="AC525916">
      <w:start w:val="1"/>
      <w:numFmt w:val="bullet"/>
      <w:lvlText w:val="○"/>
      <w:lvlJc w:val="left"/>
      <w:pPr>
        <w:ind w:left="3600" w:hanging="360"/>
      </w:pPr>
    </w:lvl>
    <w:lvl w:ilvl="5" w:tplc="2EA03C32">
      <w:start w:val="1"/>
      <w:numFmt w:val="bullet"/>
      <w:lvlText w:val="■"/>
      <w:lvlJc w:val="left"/>
      <w:pPr>
        <w:ind w:left="4320" w:hanging="360"/>
      </w:pPr>
    </w:lvl>
    <w:lvl w:ilvl="6" w:tplc="B064865E">
      <w:start w:val="1"/>
      <w:numFmt w:val="bullet"/>
      <w:lvlText w:val="●"/>
      <w:lvlJc w:val="left"/>
      <w:pPr>
        <w:ind w:left="5040" w:hanging="360"/>
      </w:pPr>
    </w:lvl>
    <w:lvl w:ilvl="7" w:tplc="45B45BFC">
      <w:start w:val="1"/>
      <w:numFmt w:val="bullet"/>
      <w:lvlText w:val="●"/>
      <w:lvlJc w:val="left"/>
      <w:pPr>
        <w:ind w:left="5760" w:hanging="360"/>
      </w:pPr>
    </w:lvl>
    <w:lvl w:ilvl="8" w:tplc="48729BCC">
      <w:start w:val="1"/>
      <w:numFmt w:val="bullet"/>
      <w:lvlText w:val="●"/>
      <w:lvlJc w:val="left"/>
      <w:pPr>
        <w:ind w:left="6480" w:hanging="360"/>
      </w:pPr>
    </w:lvl>
  </w:abstractNum>
  <w:num w:numId="1" w16cid:durableId="18550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F5D"/>
    <w:rsid w:val="00677D1E"/>
    <w:rsid w:val="00B00D0E"/>
    <w:rsid w:val="00B22F5D"/>
    <w:rsid w:val="00E40ABA"/>
    <w:rsid w:val="00E94B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AD845"/>
  <w15:docId w15:val="{4272466F-1D37-4FFC-BD01-1660899ED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30"/>
      <w:szCs w:val="30"/>
    </w:rPr>
  </w:style>
  <w:style w:type="paragraph" w:styleId="Heading2">
    <w:name w:val="heading 2"/>
    <w:uiPriority w:val="9"/>
    <w:unhideWhenUsed/>
    <w:qFormat/>
    <w:pPr>
      <w:spacing w:before="240" w:after="12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1907</Words>
  <Characters>10875</Characters>
  <Application>Microsoft Office Word</Application>
  <DocSecurity>0</DocSecurity>
  <Lines>90</Lines>
  <Paragraphs>25</Paragraphs>
  <ScaleCrop>false</ScaleCrop>
  <Company/>
  <LinksUpToDate>false</LinksUpToDate>
  <CharactersWithSpaces>12757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Mohit Sharma</cp:lastModifiedBy>
  <cp:revision>5</cp:revision>
  <dcterms:created xsi:type="dcterms:W3CDTF">2026-09-06T11:20:00Z</dcterms:created>
  <dcterms:modified xsi:type="dcterms:W3CDTF">2026-09-07T13:06:00Z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d16a4e6f-1ee0-4d15-9605-8fa5a63b4fc5</vt:lpwstr>
  </property>
</Properties>
</file>