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D6928" w14:textId="77777777" w:rsidR="004732D5" w:rsidRPr="003F1162" w:rsidRDefault="00000000">
      <w:pPr>
        <w:spacing w:after="80"/>
        <w:rPr>
          <w:rFonts w:asciiTheme="minorHAnsi" w:hAnsiTheme="minorHAnsi" w:cstheme="minorHAnsi"/>
        </w:rPr>
      </w:pPr>
      <w:proofErr w:type="spellStart"/>
      <w:r w:rsidRPr="003F1162">
        <w:rPr>
          <w:rFonts w:asciiTheme="minorHAnsi" w:hAnsiTheme="minorHAnsi" w:cstheme="minorHAnsi"/>
          <w:b/>
          <w:bCs/>
          <w:sz w:val="40"/>
          <w:szCs w:val="40"/>
        </w:rPr>
        <w:t>EduPro</w:t>
      </w:r>
      <w:proofErr w:type="spellEnd"/>
      <w:r w:rsidRPr="003F1162">
        <w:rPr>
          <w:rFonts w:asciiTheme="minorHAnsi" w:hAnsiTheme="minorHAnsi" w:cstheme="minorHAnsi"/>
          <w:b/>
          <w:bCs/>
          <w:sz w:val="40"/>
          <w:szCs w:val="40"/>
        </w:rPr>
        <w:t xml:space="preserve"> — Course Demand &amp; Revenue Forecasting</w:t>
      </w:r>
    </w:p>
    <w:p w14:paraId="237808D6" w14:textId="77777777" w:rsidR="004732D5" w:rsidRPr="003F1162" w:rsidRDefault="00000000">
      <w:pPr>
        <w:spacing w:after="4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color w:val="555555"/>
          <w:sz w:val="26"/>
          <w:szCs w:val="26"/>
        </w:rPr>
        <w:t>Exploratory Data Analysis, Insights &amp; Recommendations</w:t>
      </w:r>
    </w:p>
    <w:p w14:paraId="120FE8BD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1. Executive Overview</w:t>
      </w:r>
    </w:p>
    <w:p w14:paraId="0760557C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proofErr w:type="spellStart"/>
      <w:r w:rsidRPr="003F1162">
        <w:rPr>
          <w:rFonts w:asciiTheme="minorHAnsi" w:hAnsiTheme="minorHAnsi" w:cstheme="minorHAnsi"/>
        </w:rPr>
        <w:t>EduPro</w:t>
      </w:r>
      <w:proofErr w:type="spellEnd"/>
      <w:r w:rsidRPr="003F1162">
        <w:rPr>
          <w:rFonts w:asciiTheme="minorHAnsi" w:hAnsiTheme="minorHAnsi" w:cstheme="minorHAnsi"/>
        </w:rPr>
        <w:t xml:space="preserve"> asked two predictive questions: how many people will </w:t>
      </w:r>
      <w:proofErr w:type="spellStart"/>
      <w:r w:rsidRPr="003F1162">
        <w:rPr>
          <w:rFonts w:asciiTheme="minorHAnsi" w:hAnsiTheme="minorHAnsi" w:cstheme="minorHAnsi"/>
        </w:rPr>
        <w:t>enroll</w:t>
      </w:r>
      <w:proofErr w:type="spellEnd"/>
      <w:r w:rsidRPr="003F1162">
        <w:rPr>
          <w:rFonts w:asciiTheme="minorHAnsi" w:hAnsiTheme="minorHAnsi" w:cstheme="minorHAnsi"/>
        </w:rPr>
        <w:t xml:space="preserve"> in a course, and how much revenue will it generate. This analysis answers both — but not symmetrically. Revenue is genuinely predictable from course attributes (cross-validated R² ≈ 0.97–0.98).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count is not: every model tested, at every level of aggregation (monthly, category-monthly, and course-lifetime), scored a negative cross-validated R². That is a real, well-evidenced finding about this dataset, not a </w:t>
      </w:r>
      <w:proofErr w:type="spellStart"/>
      <w:r w:rsidRPr="003F1162">
        <w:rPr>
          <w:rFonts w:asciiTheme="minorHAnsi" w:hAnsiTheme="minorHAnsi" w:cstheme="minorHAnsi"/>
        </w:rPr>
        <w:t>modeling</w:t>
      </w:r>
      <w:proofErr w:type="spellEnd"/>
      <w:r w:rsidRPr="003F1162">
        <w:rPr>
          <w:rFonts w:asciiTheme="minorHAnsi" w:hAnsiTheme="minorHAnsi" w:cstheme="minorHAnsi"/>
        </w:rPr>
        <w:t xml:space="preserve"> shortfall, and it is documented here in full — including exactly how unstable the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R² is across different train/test splits, which is the clearest evidence that there is no reliable signal for it to learn.</w:t>
      </w:r>
    </w:p>
    <w:p w14:paraId="15BC19B7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The practical takeaway: use the revenue model for pricing and planning decisions. Treat the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model as a documented negative result that motivates collecting more history and richer </w:t>
      </w:r>
      <w:proofErr w:type="spellStart"/>
      <w:r w:rsidRPr="003F1162">
        <w:rPr>
          <w:rFonts w:asciiTheme="minorHAnsi" w:hAnsiTheme="minorHAnsi" w:cstheme="minorHAnsi"/>
        </w:rPr>
        <w:t>behavioral</w:t>
      </w:r>
      <w:proofErr w:type="spellEnd"/>
      <w:r w:rsidRPr="003F1162">
        <w:rPr>
          <w:rFonts w:asciiTheme="minorHAnsi" w:hAnsiTheme="minorHAnsi" w:cstheme="minorHAnsi"/>
        </w:rPr>
        <w:t xml:space="preserve"> data, not as a working forecaster.</w:t>
      </w:r>
    </w:p>
    <w:p w14:paraId="6C3346A3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2. Dataset Overview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000"/>
      </w:tblGrid>
      <w:tr w:rsidR="004732D5" w:rsidRPr="003F1162" w14:paraId="20DB5B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9CE29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Metric</w:t>
            </w:r>
          </w:p>
        </w:tc>
        <w:tc>
          <w:tcPr>
            <w:tcW w:w="6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6A096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Value</w:t>
            </w:r>
          </w:p>
        </w:tc>
      </w:tr>
      <w:tr w:rsidR="004732D5" w:rsidRPr="003F1162" w14:paraId="1B86175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47C96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Courses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3626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60 (12 categories × 5 courses each)</w:t>
            </w:r>
          </w:p>
        </w:tc>
      </w:tr>
      <w:tr w:rsidR="004732D5" w:rsidRPr="003F1162" w14:paraId="1A9782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102C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Instructors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8231B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60</w:t>
            </w:r>
          </w:p>
        </w:tc>
      </w:tr>
      <w:tr w:rsidR="004732D5" w:rsidRPr="003F1162" w14:paraId="6B26001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08260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Learners (Users sheet)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61E3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3,000</w:t>
            </w:r>
          </w:p>
        </w:tc>
      </w:tr>
      <w:tr w:rsidR="004732D5" w:rsidRPr="003F1162" w14:paraId="2F57DA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EDFF4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Transactions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26CE2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10,000</w:t>
            </w:r>
          </w:p>
        </w:tc>
      </w:tr>
      <w:tr w:rsidR="004732D5" w:rsidRPr="003F1162" w14:paraId="707572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20252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Date range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FF561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Jan 2025 – Dec 2025 (12 months)</w:t>
            </w:r>
          </w:p>
        </w:tc>
      </w:tr>
      <w:tr w:rsidR="004732D5" w:rsidRPr="003F1162" w14:paraId="173475D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8C9F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Total lifetime revenue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4A82C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$911,323.47</w:t>
            </w:r>
          </w:p>
        </w:tc>
      </w:tr>
      <w:tr w:rsidR="004732D5" w:rsidRPr="003F1162" w14:paraId="677CD9F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A0C2D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Free vs. Paid courses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20E55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38 free / 22 paid</w:t>
            </w:r>
          </w:p>
        </w:tc>
      </w:tr>
      <w:tr w:rsidR="004732D5" w:rsidRPr="003F1162" w14:paraId="7487FF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127A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Paid course price range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8B72C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$0.78 – $490.90 (median paid ≈ $280)</w:t>
            </w:r>
          </w:p>
        </w:tc>
      </w:tr>
    </w:tbl>
    <w:p w14:paraId="2063CBFF" w14:textId="77777777" w:rsidR="004732D5" w:rsidRPr="003F1162" w:rsidRDefault="004732D5">
      <w:pPr>
        <w:spacing w:after="160"/>
        <w:rPr>
          <w:rFonts w:asciiTheme="minorHAnsi" w:hAnsiTheme="minorHAnsi" w:cstheme="minorHAnsi"/>
        </w:rPr>
      </w:pPr>
    </w:p>
    <w:p w14:paraId="2F95AE35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Note: an early version of the price-band feature used thresholds ($0–$30–$60) calibrated to the wrong scale for this dataset, which put 18 of 22 paid courses into a single “High” bucket. This was caught and corrected to $0–$150–$300 (Free / Low / Medium / High), which spreads paid courses across bands as 7 / 6 / 9. All results in this document reflect the corrected bucketing.</w:t>
      </w:r>
    </w:p>
    <w:p w14:paraId="1C49066A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3. Exploratory Data Analysis</w:t>
      </w:r>
    </w:p>
    <w:p w14:paraId="3887DE36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3.1 Monthly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&amp; Revenue Are Remarkably Stable</w:t>
      </w:r>
    </w:p>
    <w:p w14:paraId="4F647EF4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proofErr w:type="spellStart"/>
      <w:r w:rsidRPr="003F1162">
        <w:rPr>
          <w:rFonts w:asciiTheme="minorHAnsi" w:hAnsiTheme="minorHAnsi" w:cstheme="minorHAnsi"/>
        </w:rPr>
        <w:t>Enrollments</w:t>
      </w:r>
      <w:proofErr w:type="spellEnd"/>
      <w:r w:rsidRPr="003F1162">
        <w:rPr>
          <w:rFonts w:asciiTheme="minorHAnsi" w:hAnsiTheme="minorHAnsi" w:cstheme="minorHAnsi"/>
        </w:rPr>
        <w:t xml:space="preserve"> and revenue were plotted month by month across the full year of data. Both series move in a narrow band: monthly </w:t>
      </w:r>
      <w:proofErr w:type="spellStart"/>
      <w:r w:rsidRPr="003F1162">
        <w:rPr>
          <w:rFonts w:asciiTheme="minorHAnsi" w:hAnsiTheme="minorHAnsi" w:cstheme="minorHAnsi"/>
        </w:rPr>
        <w:t>enrollments</w:t>
      </w:r>
      <w:proofErr w:type="spellEnd"/>
      <w:r w:rsidRPr="003F1162">
        <w:rPr>
          <w:rFonts w:asciiTheme="minorHAnsi" w:hAnsiTheme="minorHAnsi" w:cstheme="minorHAnsi"/>
        </w:rPr>
        <w:t xml:space="preserve"> range 762–899 (mean 833, coefficient of variation ≈ 4.8%), and monthly revenue ranges $66,984–$83,353 (mean $75,944). There is no visible seasonal pattern or trend — consistent with the near-zero month-to-month autocorrelation quantified in Section 5.</w:t>
      </w:r>
    </w:p>
    <w:p w14:paraId="5D673F77" w14:textId="77777777" w:rsidR="004732D5" w:rsidRPr="003F1162" w:rsidRDefault="00000000">
      <w:pPr>
        <w:spacing w:before="120" w:after="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C87D6CA" wp14:editId="1247D223">
            <wp:extent cx="5905500" cy="20669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967D" w14:textId="77777777" w:rsidR="004732D5" w:rsidRPr="003F1162" w:rsidRDefault="00000000">
      <w:pPr>
        <w:spacing w:after="2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i/>
          <w:iCs/>
          <w:color w:val="555555"/>
        </w:rPr>
        <w:t xml:space="preserve">Figure 1. Monthly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enrollments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and revenue, Jan–Dec 2025.</w:t>
      </w:r>
    </w:p>
    <w:p w14:paraId="146C2695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3.2 Price and Rating Show Weak Correlation </w:t>
      </w:r>
      <w:proofErr w:type="gramStart"/>
      <w:r w:rsidRPr="003F1162">
        <w:rPr>
          <w:rFonts w:asciiTheme="minorHAnsi" w:hAnsiTheme="minorHAnsi" w:cstheme="minorHAnsi"/>
        </w:rPr>
        <w:t>With</w:t>
      </w:r>
      <w:proofErr w:type="gramEnd"/>
      <w:r w:rsidRPr="003F1162">
        <w:rPr>
          <w:rFonts w:asciiTheme="minorHAnsi" w:hAnsiTheme="minorHAnsi" w:cstheme="minorHAnsi"/>
        </w:rPr>
        <w:t xml:space="preserve"> Lifetime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</w:p>
    <w:p w14:paraId="1410EE8F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At the course level, </w:t>
      </w:r>
      <w:proofErr w:type="spellStart"/>
      <w:r w:rsidRPr="003F1162">
        <w:rPr>
          <w:rFonts w:asciiTheme="minorHAnsi" w:hAnsiTheme="minorHAnsi" w:cstheme="minorHAnsi"/>
        </w:rPr>
        <w:t>CoursePrice</w:t>
      </w:r>
      <w:proofErr w:type="spellEnd"/>
      <w:r w:rsidRPr="003F1162">
        <w:rPr>
          <w:rFonts w:asciiTheme="minorHAnsi" w:hAnsiTheme="minorHAnsi" w:cstheme="minorHAnsi"/>
        </w:rPr>
        <w:t xml:space="preserve"> correlates with total lifetime </w:t>
      </w:r>
      <w:proofErr w:type="spellStart"/>
      <w:r w:rsidRPr="003F1162">
        <w:rPr>
          <w:rFonts w:asciiTheme="minorHAnsi" w:hAnsiTheme="minorHAnsi" w:cstheme="minorHAnsi"/>
        </w:rPr>
        <w:t>enrollments</w:t>
      </w:r>
      <w:proofErr w:type="spellEnd"/>
      <w:r w:rsidRPr="003F1162">
        <w:rPr>
          <w:rFonts w:asciiTheme="minorHAnsi" w:hAnsiTheme="minorHAnsi" w:cstheme="minorHAnsi"/>
        </w:rPr>
        <w:t xml:space="preserve"> at r = –0.16, and </w:t>
      </w:r>
      <w:proofErr w:type="spellStart"/>
      <w:r w:rsidRPr="003F1162">
        <w:rPr>
          <w:rFonts w:asciiTheme="minorHAnsi" w:hAnsiTheme="minorHAnsi" w:cstheme="minorHAnsi"/>
        </w:rPr>
        <w:t>CourseRating</w:t>
      </w:r>
      <w:proofErr w:type="spellEnd"/>
      <w:r w:rsidRPr="003F1162">
        <w:rPr>
          <w:rFonts w:asciiTheme="minorHAnsi" w:hAnsiTheme="minorHAnsi" w:cstheme="minorHAnsi"/>
        </w:rPr>
        <w:t xml:space="preserve"> correlates at r = +0.29. Both are real but weak relationships — weak enough that, as Section 5 shows, they do not survive cross-validation once folded into a full feature set with only 60 courses to learn from.</w:t>
      </w:r>
    </w:p>
    <w:p w14:paraId="689CA1EA" w14:textId="77777777" w:rsidR="004732D5" w:rsidRPr="003F1162" w:rsidRDefault="00000000">
      <w:pPr>
        <w:spacing w:before="120" w:after="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noProof/>
        </w:rPr>
        <w:drawing>
          <wp:inline distT="0" distB="0" distL="0" distR="0" wp14:anchorId="68553884" wp14:editId="28661BD0">
            <wp:extent cx="5905500" cy="2181225"/>
            <wp:effectExtent l="0" t="0" r="0" b="0"/>
            <wp:docPr id="1999636603" name="Picture 1999636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702A" w14:textId="77777777" w:rsidR="004732D5" w:rsidRPr="003F1162" w:rsidRDefault="00000000">
      <w:pPr>
        <w:spacing w:after="2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i/>
          <w:iCs/>
          <w:color w:val="555555"/>
        </w:rPr>
        <w:t xml:space="preserve">Figure 2. Course price and rating vs. lifetime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enrollment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,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colored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by category.</w:t>
      </w:r>
    </w:p>
    <w:p w14:paraId="7E67D325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3.3 Revenue Is Structurally Tied to Price, Not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Variation</w:t>
      </w:r>
    </w:p>
    <w:p w14:paraId="701C351D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Two facts about the transaction data explain most of what follows in Section 6: every transaction's Amount equals that course's </w:t>
      </w:r>
      <w:proofErr w:type="spellStart"/>
      <w:r w:rsidRPr="003F1162">
        <w:rPr>
          <w:rFonts w:asciiTheme="minorHAnsi" w:hAnsiTheme="minorHAnsi" w:cstheme="minorHAnsi"/>
        </w:rPr>
        <w:t>CoursePrice</w:t>
      </w:r>
      <w:proofErr w:type="spellEnd"/>
      <w:r w:rsidRPr="003F1162">
        <w:rPr>
          <w:rFonts w:asciiTheme="minorHAnsi" w:hAnsiTheme="minorHAnsi" w:cstheme="minorHAnsi"/>
        </w:rPr>
        <w:t xml:space="preserve"> exactly (100% of 10,000 transactions), and lifetime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counts across the 60 courses vary only about 7.5% around their mean (140–196 </w:t>
      </w:r>
      <w:proofErr w:type="spellStart"/>
      <w:r w:rsidRPr="003F1162">
        <w:rPr>
          <w:rFonts w:asciiTheme="minorHAnsi" w:hAnsiTheme="minorHAnsi" w:cstheme="minorHAnsi"/>
        </w:rPr>
        <w:t>enrollments</w:t>
      </w:r>
      <w:proofErr w:type="spellEnd"/>
      <w:r w:rsidRPr="003F1162">
        <w:rPr>
          <w:rFonts w:asciiTheme="minorHAnsi" w:hAnsiTheme="minorHAnsi" w:cstheme="minorHAnsi"/>
        </w:rPr>
        <w:t xml:space="preserve">, mean 166.7). In other words, revenue in this dataset is close to a deterministic function of price — </w:t>
      </w:r>
      <w:proofErr w:type="spellStart"/>
      <w:r w:rsidRPr="003F1162">
        <w:rPr>
          <w:rFonts w:asciiTheme="minorHAnsi" w:hAnsiTheme="minorHAnsi" w:cstheme="minorHAnsi"/>
        </w:rPr>
        <w:t>CoursePrice</w:t>
      </w:r>
      <w:proofErr w:type="spellEnd"/>
      <w:r w:rsidRPr="003F1162">
        <w:rPr>
          <w:rFonts w:asciiTheme="minorHAnsi" w:hAnsiTheme="minorHAnsi" w:cstheme="minorHAnsi"/>
        </w:rPr>
        <w:t xml:space="preserve"> × a nearly-constant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count — rather than something that emerges from independently varying demand.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0"/>
        <w:gridCol w:w="4000"/>
      </w:tblGrid>
      <w:tr w:rsidR="004732D5" w:rsidRPr="003F1162" w14:paraId="752357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E9159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Quantity</w:t>
            </w:r>
          </w:p>
        </w:tc>
        <w:tc>
          <w:tcPr>
            <w:tcW w:w="4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AC7E4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Value</w:t>
            </w:r>
          </w:p>
        </w:tc>
      </w:tr>
      <w:tr w:rsidR="004732D5" w:rsidRPr="003F1162" w14:paraId="37C386B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C3778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 xml:space="preserve">Transactions where Amount = </w:t>
            </w:r>
            <w:proofErr w:type="spellStart"/>
            <w:r w:rsidRPr="003F1162">
              <w:rPr>
                <w:rFonts w:asciiTheme="minorHAnsi" w:hAnsiTheme="minorHAnsi" w:cstheme="minorHAnsi"/>
              </w:rPr>
              <w:t>CoursePrice</w:t>
            </w:r>
            <w:proofErr w:type="spellEnd"/>
            <w:r w:rsidRPr="003F1162">
              <w:rPr>
                <w:rFonts w:asciiTheme="minorHAnsi" w:hAnsiTheme="minorHAnsi" w:cstheme="minorHAnsi"/>
              </w:rPr>
              <w:t xml:space="preserve"> exactly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8F3F4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100%</w:t>
            </w:r>
          </w:p>
        </w:tc>
      </w:tr>
      <w:tr w:rsidR="004732D5" w:rsidRPr="003F1162" w14:paraId="00D1E73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33733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proofErr w:type="spellStart"/>
            <w:r w:rsidRPr="003F1162">
              <w:rPr>
                <w:rFonts w:asciiTheme="minorHAnsi" w:hAnsiTheme="minorHAnsi" w:cstheme="minorHAnsi"/>
              </w:rPr>
              <w:t>TotalEnrollments</w:t>
            </w:r>
            <w:proofErr w:type="spellEnd"/>
            <w:r w:rsidRPr="003F1162">
              <w:rPr>
                <w:rFonts w:asciiTheme="minorHAnsi" w:hAnsiTheme="minorHAnsi" w:cstheme="minorHAnsi"/>
              </w:rPr>
              <w:t xml:space="preserve"> per course — mean ± std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985E0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166.7 ± 12.5 (CV ≈ 7.5%)</w:t>
            </w:r>
          </w:p>
        </w:tc>
      </w:tr>
      <w:tr w:rsidR="004732D5" w:rsidRPr="003F1162" w14:paraId="3E082A74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0517F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proofErr w:type="spellStart"/>
            <w:r w:rsidRPr="003F1162">
              <w:rPr>
                <w:rFonts w:asciiTheme="minorHAnsi" w:hAnsiTheme="minorHAnsi" w:cstheme="minorHAnsi"/>
              </w:rPr>
              <w:t>TotalEnrollments</w:t>
            </w:r>
            <w:proofErr w:type="spellEnd"/>
            <w:r w:rsidRPr="003F1162">
              <w:rPr>
                <w:rFonts w:asciiTheme="minorHAnsi" w:hAnsiTheme="minorHAnsi" w:cstheme="minorHAnsi"/>
              </w:rPr>
              <w:t xml:space="preserve"> per course — range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3C2C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140 – 196</w:t>
            </w:r>
          </w:p>
        </w:tc>
      </w:tr>
    </w:tbl>
    <w:p w14:paraId="5A518AC1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lastRenderedPageBreak/>
        <w:t xml:space="preserve">4. </w:t>
      </w:r>
      <w:proofErr w:type="spellStart"/>
      <w:r w:rsidRPr="003F1162">
        <w:rPr>
          <w:rFonts w:asciiTheme="minorHAnsi" w:hAnsiTheme="minorHAnsi" w:cstheme="minorHAnsi"/>
        </w:rPr>
        <w:t>Modeling</w:t>
      </w:r>
      <w:proofErr w:type="spellEnd"/>
      <w:r w:rsidRPr="003F1162">
        <w:rPr>
          <w:rFonts w:asciiTheme="minorHAnsi" w:hAnsiTheme="minorHAnsi" w:cstheme="minorHAnsi"/>
        </w:rPr>
        <w:t xml:space="preserve"> Approach (Summary)</w:t>
      </w:r>
    </w:p>
    <w:p w14:paraId="0544F1C6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Three levels of granularity were </w:t>
      </w:r>
      <w:proofErr w:type="spellStart"/>
      <w:r w:rsidRPr="003F1162">
        <w:rPr>
          <w:rFonts w:asciiTheme="minorHAnsi" w:hAnsiTheme="minorHAnsi" w:cstheme="minorHAnsi"/>
        </w:rPr>
        <w:t>modeled</w:t>
      </w:r>
      <w:proofErr w:type="spellEnd"/>
      <w:r w:rsidRPr="003F1162">
        <w:rPr>
          <w:rFonts w:asciiTheme="minorHAnsi" w:hAnsiTheme="minorHAnsi" w:cstheme="minorHAnsi"/>
        </w:rPr>
        <w:t xml:space="preserve">: (1) monthly, per-course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with lag/rolling features; (2) monthly, per-category revenue with the same approach aggregated up; and (3) course-lifetime totals (</w:t>
      </w:r>
      <w:proofErr w:type="spellStart"/>
      <w:r w:rsidRPr="003F1162">
        <w:rPr>
          <w:rFonts w:asciiTheme="minorHAnsi" w:hAnsiTheme="minorHAnsi" w:cstheme="minorHAnsi"/>
        </w:rPr>
        <w:t>enrollments</w:t>
      </w:r>
      <w:proofErr w:type="spellEnd"/>
      <w:r w:rsidRPr="003F1162">
        <w:rPr>
          <w:rFonts w:asciiTheme="minorHAnsi" w:hAnsiTheme="minorHAnsi" w:cstheme="minorHAnsi"/>
        </w:rPr>
        <w:t xml:space="preserve"> and revenue) from static course and instructor attributes. Six regression approaches were compared at each relevant level — Linear, Ridge, Lasso, Poisson, Random Forest, and Gradient Boosting — always benchmarked against a naive baseline, always using cross-validation appropriate to the grain (time-respecting expanding-window CV for the monthly views, standard 5-fold CV for the cross-sectional course-lifetime view). The winning model per target was then hyperparameter-tuned, checked for train-vs-CV overfitting, and given bootstrap-based 90% prediction intervals. </w:t>
      </w:r>
      <w:proofErr w:type="spellStart"/>
      <w:r w:rsidRPr="003F1162">
        <w:rPr>
          <w:rFonts w:asciiTheme="minorHAnsi" w:hAnsiTheme="minorHAnsi" w:cstheme="minorHAnsi"/>
        </w:rPr>
        <w:t>CourseID</w:t>
      </w:r>
      <w:proofErr w:type="spellEnd"/>
      <w:r w:rsidRPr="003F1162">
        <w:rPr>
          <w:rFonts w:asciiTheme="minorHAnsi" w:hAnsiTheme="minorHAnsi" w:cstheme="minorHAnsi"/>
        </w:rPr>
        <w:t xml:space="preserve"> was excluded as a feature throughout — with only 60 courses, one-hot encoding it would let the model memorize individual courses instead of learning generalizable patterns.</w:t>
      </w:r>
    </w:p>
    <w:p w14:paraId="40FBDC5F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5. Key Finding 1 —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Count Is Not Predictable, and the R² Instability Proves It</w:t>
      </w:r>
    </w:p>
    <w:p w14:paraId="1941FF22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5.1 Every model, every grain, negative cross-validated R²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750"/>
        <w:gridCol w:w="1950"/>
        <w:gridCol w:w="2700"/>
      </w:tblGrid>
      <w:tr w:rsidR="004732D5" w:rsidRPr="003F1162" w14:paraId="0330FD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56DEE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Grain</w:t>
            </w:r>
          </w:p>
        </w:tc>
        <w:tc>
          <w:tcPr>
            <w:tcW w:w="17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70E3D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Naive baseline R²</w:t>
            </w:r>
          </w:p>
        </w:tc>
        <w:tc>
          <w:tcPr>
            <w:tcW w:w="19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A1EA5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Best model</w:t>
            </w:r>
          </w:p>
        </w:tc>
        <w:tc>
          <w:tcPr>
            <w:tcW w:w="2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6434F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  <w:b/>
                <w:bCs/>
              </w:rPr>
              <w:t>Best model R²</w:t>
            </w:r>
          </w:p>
        </w:tc>
      </w:tr>
      <w:tr w:rsidR="004732D5" w:rsidRPr="003F1162" w14:paraId="30DB6A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27E6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Monthly, per-course</w:t>
            </w: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B553F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-1.10</w:t>
            </w:r>
          </w:p>
        </w:tc>
        <w:tc>
          <w:tcPr>
            <w:tcW w:w="19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2AEE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Random Forest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5C5A0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-0.11 (beats naive, still unusable)</w:t>
            </w:r>
          </w:p>
        </w:tc>
      </w:tr>
      <w:tr w:rsidR="004732D5" w:rsidRPr="003F1162" w14:paraId="0AF17E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5F50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Course-lifetime (untuned)</w:t>
            </w: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E7147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—</w:t>
            </w:r>
          </w:p>
        </w:tc>
        <w:tc>
          <w:tcPr>
            <w:tcW w:w="19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9C50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Random Forest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9C15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-0.21</w:t>
            </w:r>
          </w:p>
        </w:tc>
      </w:tr>
      <w:tr w:rsidR="004732D5" w:rsidRPr="003F1162" w14:paraId="199741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3BA60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Course-lifetime (tuned)</w:t>
            </w:r>
          </w:p>
        </w:tc>
        <w:tc>
          <w:tcPr>
            <w:tcW w:w="1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1F021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—</w:t>
            </w:r>
          </w:p>
        </w:tc>
        <w:tc>
          <w:tcPr>
            <w:tcW w:w="19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61A8D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Random Forest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550BE" w14:textId="77777777" w:rsidR="004732D5" w:rsidRPr="003F1162" w:rsidRDefault="00000000">
            <w:pPr>
              <w:rPr>
                <w:rFonts w:asciiTheme="minorHAnsi" w:hAnsiTheme="minorHAnsi" w:cstheme="minorHAnsi"/>
              </w:rPr>
            </w:pPr>
            <w:r w:rsidRPr="003F1162">
              <w:rPr>
                <w:rFonts w:asciiTheme="minorHAnsi" w:hAnsiTheme="minorHAnsi" w:cstheme="minorHAnsi"/>
              </w:rPr>
              <w:t>-0.17</w:t>
            </w:r>
          </w:p>
        </w:tc>
      </w:tr>
    </w:tbl>
    <w:p w14:paraId="5AB3A3C4" w14:textId="77777777" w:rsidR="004732D5" w:rsidRPr="003F1162" w:rsidRDefault="004732D5">
      <w:pPr>
        <w:spacing w:after="160"/>
        <w:rPr>
          <w:rFonts w:asciiTheme="minorHAnsi" w:hAnsiTheme="minorHAnsi" w:cstheme="minorHAnsi"/>
        </w:rPr>
      </w:pPr>
    </w:p>
    <w:p w14:paraId="389E7045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Month-to-month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autocorrelation is 0.023 — statistically zero. A course's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this month tells you almost nothing about next month, which is why even a naive persistence baseline already scores R² = -1.10, and no model meaningfully beats it.</w:t>
      </w:r>
    </w:p>
    <w:p w14:paraId="3145C748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5.2 The R² itself is unstable — direct evidence of no real signal</w:t>
      </w:r>
    </w:p>
    <w:p w14:paraId="5CFAE22E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Rather than reporting one R² number, the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model was cross-validated repeatedly to show how much that number moves depending on which courses happen to land in the test fold. Within a single 5-fold split, per-fold R² ranges from -0.65 to +0.18 — it flips sign depending on the fold. Repeating the entire 5-fold CV with 20 different random splits, the mean R² itself ranges from -0.19 to +0.14 (mean -0.07, std 0.08) — meaning a differently-drawn split could easily have produced a misleadingly “positive” headline number purely by chance.</w:t>
      </w:r>
    </w:p>
    <w:p w14:paraId="1FC3F46D" w14:textId="77777777" w:rsidR="004732D5" w:rsidRPr="003F1162" w:rsidRDefault="00000000">
      <w:pPr>
        <w:spacing w:before="120" w:after="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045B7B4" wp14:editId="3DA5569F">
            <wp:extent cx="4000500" cy="2495550"/>
            <wp:effectExtent l="0" t="0" r="0" b="0"/>
            <wp:docPr id="1083887587" name="Picture 1083887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4BAC9" w14:textId="77777777" w:rsidR="004732D5" w:rsidRPr="003F1162" w:rsidRDefault="00000000">
      <w:pPr>
        <w:spacing w:after="2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i/>
          <w:iCs/>
          <w:color w:val="555555"/>
        </w:rPr>
        <w:t xml:space="preserve">Figure 3. Per-fold R² for the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enrollment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model vs. the revenue model, same 5-fold split.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Enrollment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swings from -0.65 to +0.18; revenue stays tightly between 0.94 and 0.99.</w:t>
      </w:r>
    </w:p>
    <w:p w14:paraId="6DFE8BE8" w14:textId="77777777" w:rsidR="004732D5" w:rsidRPr="003F1162" w:rsidRDefault="00000000">
      <w:pPr>
        <w:spacing w:before="120" w:after="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noProof/>
        </w:rPr>
        <w:drawing>
          <wp:inline distT="0" distB="0" distL="0" distR="0" wp14:anchorId="0AF8F0B3" wp14:editId="0B36BBD4">
            <wp:extent cx="5905500" cy="2209800"/>
            <wp:effectExtent l="0" t="0" r="0" b="0"/>
            <wp:docPr id="1771380215" name="Picture 1771380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29C8" w14:textId="77777777" w:rsidR="004732D5" w:rsidRPr="003F1162" w:rsidRDefault="00000000">
      <w:pPr>
        <w:spacing w:after="2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i/>
          <w:iCs/>
          <w:color w:val="555555"/>
        </w:rPr>
        <w:t xml:space="preserve">Figure 4. Distribution of mean CV R² across 20 independently-randomized 5-fold splits. The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enrollment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model's mean R² itself is a moving target; the revenue model's is not.</w:t>
      </w:r>
    </w:p>
    <w:p w14:paraId="0D31CA15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5.3 Overfitting confirms it</w:t>
      </w:r>
    </w:p>
    <w:p w14:paraId="4A2234BC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Fitting the tuned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model on all 60 courses and scoring it on those same 60 courses gives R² = 0.56 — it looks like it's learned something. But the honest, cross-validated estimate is R² = -0.17, a gap of 0.73. That gap is the signature of a model fitting noise in a small sample rather than a generalizable pattern. The revenue model, by contrast, shows almost no gap (0.997 train vs. 0.974 CV) — see Figure 5 below.</w:t>
      </w:r>
    </w:p>
    <w:p w14:paraId="1D4DF77A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Practical implication: feature importance extracted from the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model (Figure 6, left panel) describes in-sample correlation structure only — it should not be quoted as a predictive or causal driver list.</w:t>
      </w:r>
    </w:p>
    <w:p w14:paraId="531BBB5E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6. Key Finding 2 — Revenue Is Predictable, Mostly Because It's Mechanical</w:t>
      </w:r>
    </w:p>
    <w:p w14:paraId="69EFD9E4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The revenue model's cross-validated R² is 0.974 (tuned Lasso; Gradient Boosting close behind at 0.981), and — unlike the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model — that number is stable: across the same 20 randomized splits used in Section 5, </w:t>
      </w:r>
      <w:r w:rsidRPr="003F1162">
        <w:rPr>
          <w:rFonts w:asciiTheme="minorHAnsi" w:hAnsiTheme="minorHAnsi" w:cstheme="minorHAnsi"/>
        </w:rPr>
        <w:lastRenderedPageBreak/>
        <w:t>mean R² ranges only 0.953–0.991 (std 0.008). The train-vs-CV gap is small (0.997 vs. 0.974), so this is a genuinely reliable model, not an artifact of a lucky split.</w:t>
      </w:r>
    </w:p>
    <w:p w14:paraId="3186EA61" w14:textId="77777777" w:rsidR="004732D5" w:rsidRPr="003F1162" w:rsidRDefault="00000000">
      <w:pPr>
        <w:spacing w:before="120" w:after="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noProof/>
        </w:rPr>
        <w:drawing>
          <wp:inline distT="0" distB="0" distL="0" distR="0" wp14:anchorId="4DD05B5A" wp14:editId="4D4D7365">
            <wp:extent cx="4000500" cy="2495550"/>
            <wp:effectExtent l="0" t="0" r="0" b="0"/>
            <wp:docPr id="1590637187" name="Picture 1590637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A49F5" w14:textId="77777777" w:rsidR="004732D5" w:rsidRPr="003F1162" w:rsidRDefault="00000000">
      <w:pPr>
        <w:spacing w:after="2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i/>
          <w:iCs/>
          <w:color w:val="555555"/>
        </w:rPr>
        <w:t xml:space="preserve">Figure 5. Train (in-sample) vs. cross-validated R² for both models. The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enrollment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model's large gap signals overfitting to noise; the revenue model's small gap signals a genuine fit.</w:t>
      </w:r>
    </w:p>
    <w:p w14:paraId="1453F0C2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That reliability comes with an important caveat established in Section 3.3: every transaction's Amount equals </w:t>
      </w:r>
      <w:proofErr w:type="spellStart"/>
      <w:r w:rsidRPr="003F1162">
        <w:rPr>
          <w:rFonts w:asciiTheme="minorHAnsi" w:hAnsiTheme="minorHAnsi" w:cstheme="minorHAnsi"/>
        </w:rPr>
        <w:t>CoursePrice</w:t>
      </w:r>
      <w:proofErr w:type="spellEnd"/>
      <w:r w:rsidRPr="003F1162">
        <w:rPr>
          <w:rFonts w:asciiTheme="minorHAnsi" w:hAnsiTheme="minorHAnsi" w:cstheme="minorHAnsi"/>
        </w:rPr>
        <w:t xml:space="preserve"> exactly, and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counts vary only ~7.5% around their mean. So </w:t>
      </w:r>
      <w:proofErr w:type="spellStart"/>
      <w:r w:rsidRPr="003F1162">
        <w:rPr>
          <w:rFonts w:asciiTheme="minorHAnsi" w:hAnsiTheme="minorHAnsi" w:cstheme="minorHAnsi"/>
        </w:rPr>
        <w:t>TotalRevenue</w:t>
      </w:r>
      <w:proofErr w:type="spellEnd"/>
      <w:r w:rsidRPr="003F1162">
        <w:rPr>
          <w:rFonts w:asciiTheme="minorHAnsi" w:hAnsiTheme="minorHAnsi" w:cstheme="minorHAnsi"/>
        </w:rPr>
        <w:t xml:space="preserve"> ≈ </w:t>
      </w:r>
      <w:proofErr w:type="spellStart"/>
      <w:r w:rsidRPr="003F1162">
        <w:rPr>
          <w:rFonts w:asciiTheme="minorHAnsi" w:hAnsiTheme="minorHAnsi" w:cstheme="minorHAnsi"/>
        </w:rPr>
        <w:t>CoursePrice</w:t>
      </w:r>
      <w:proofErr w:type="spellEnd"/>
      <w:r w:rsidRPr="003F1162">
        <w:rPr>
          <w:rFonts w:asciiTheme="minorHAnsi" w:hAnsiTheme="minorHAnsi" w:cstheme="minorHAnsi"/>
        </w:rPr>
        <w:t xml:space="preserve"> × ~166, and </w:t>
      </w:r>
      <w:proofErr w:type="spellStart"/>
      <w:r w:rsidRPr="003F1162">
        <w:rPr>
          <w:rFonts w:asciiTheme="minorHAnsi" w:hAnsiTheme="minorHAnsi" w:cstheme="minorHAnsi"/>
        </w:rPr>
        <w:t>CoursePrice</w:t>
      </w:r>
      <w:proofErr w:type="spellEnd"/>
      <w:r w:rsidRPr="003F1162">
        <w:rPr>
          <w:rFonts w:asciiTheme="minorHAnsi" w:hAnsiTheme="minorHAnsi" w:cstheme="minorHAnsi"/>
        </w:rPr>
        <w:t xml:space="preserve"> is already a direct input feature — the model is largely recovering near-arithmetic structure, not discovering an independent demand-driven relationship. The feature importance chart confirms this directly: </w:t>
      </w:r>
      <w:proofErr w:type="spellStart"/>
      <w:r w:rsidRPr="003F1162">
        <w:rPr>
          <w:rFonts w:asciiTheme="minorHAnsi" w:hAnsiTheme="minorHAnsi" w:cstheme="minorHAnsi"/>
        </w:rPr>
        <w:t>CoursePrice's</w:t>
      </w:r>
      <w:proofErr w:type="spellEnd"/>
      <w:r w:rsidRPr="003F1162">
        <w:rPr>
          <w:rFonts w:asciiTheme="minorHAnsi" w:hAnsiTheme="minorHAnsi" w:cstheme="minorHAnsi"/>
        </w:rPr>
        <w:t xml:space="preserve"> importance (2.85) dwarfs every other feature (all below 0.06).</w:t>
      </w:r>
    </w:p>
    <w:p w14:paraId="7347F127" w14:textId="77777777" w:rsidR="004732D5" w:rsidRPr="003F1162" w:rsidRDefault="00000000">
      <w:pPr>
        <w:spacing w:before="120" w:after="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noProof/>
        </w:rPr>
        <w:drawing>
          <wp:inline distT="0" distB="0" distL="0" distR="0" wp14:anchorId="2F50D284" wp14:editId="4AA8F036">
            <wp:extent cx="5905500" cy="2495550"/>
            <wp:effectExtent l="0" t="0" r="0" b="0"/>
            <wp:docPr id="1358441492" name="Picture 1358441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6B97" w14:textId="77777777" w:rsidR="004732D5" w:rsidRPr="003F1162" w:rsidRDefault="00000000">
      <w:pPr>
        <w:spacing w:after="2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i/>
          <w:iCs/>
          <w:color w:val="555555"/>
        </w:rPr>
        <w:t xml:space="preserve">Figure 6. Permutation importance,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enrollment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model (left, descriptive only) vs. revenue model (right, </w:t>
      </w:r>
      <w:proofErr w:type="spellStart"/>
      <w:r w:rsidRPr="003F1162">
        <w:rPr>
          <w:rFonts w:asciiTheme="minorHAnsi" w:hAnsiTheme="minorHAnsi" w:cstheme="minorHAnsi"/>
          <w:i/>
          <w:iCs/>
          <w:color w:val="555555"/>
        </w:rPr>
        <w:t>CoursePrice</w:t>
      </w:r>
      <w:proofErr w:type="spellEnd"/>
      <w:r w:rsidRPr="003F1162">
        <w:rPr>
          <w:rFonts w:asciiTheme="minorHAnsi" w:hAnsiTheme="minorHAnsi" w:cstheme="minorHAnsi"/>
          <w:i/>
          <w:iCs/>
          <w:color w:val="555555"/>
        </w:rPr>
        <w:t xml:space="preserve"> dominates as expected).</w:t>
      </w:r>
    </w:p>
    <w:p w14:paraId="2D5B549A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This does not make the revenue model useless — revenue genuinely is price-driven in this business, and that is a legitimately useful planning fact. It should simply be described in the paper and to stakeholders as a pricing/revenue-planning result, not as a demand-forecasting breakthrough.</w:t>
      </w:r>
    </w:p>
    <w:p w14:paraId="23C95C22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7. Category-Level View</w:t>
      </w:r>
    </w:p>
    <w:p w14:paraId="7EE04310" w14:textId="77777777" w:rsidR="004732D5" w:rsidRPr="003F1162" w:rsidRDefault="00000000">
      <w:pPr>
        <w:spacing w:after="16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lastRenderedPageBreak/>
        <w:t>Rolling the course-level revenue model's predictions up by category gives a stable, defensible revenue-by-category picture (a monthly category-revenue model was also tested directly and looked predictable at R² ≈ 0.88, but that signal turned out to be structural — driven by which courses sit in each category rather than a genuine month-to-month trend — so the course-level roll-up below is the more honest number).</w:t>
      </w:r>
    </w:p>
    <w:p w14:paraId="7C79BE49" w14:textId="77777777" w:rsidR="004732D5" w:rsidRPr="003F1162" w:rsidRDefault="00000000">
      <w:pPr>
        <w:spacing w:before="120" w:after="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noProof/>
        </w:rPr>
        <w:drawing>
          <wp:inline distT="0" distB="0" distL="0" distR="0" wp14:anchorId="4E1434CA" wp14:editId="7839F5CE">
            <wp:extent cx="5334000" cy="2933700"/>
            <wp:effectExtent l="0" t="0" r="0" b="0"/>
            <wp:docPr id="1584485631" name="Picture 1584485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5F1ED" w14:textId="77777777" w:rsidR="004732D5" w:rsidRPr="003F1162" w:rsidRDefault="00000000">
      <w:pPr>
        <w:spacing w:after="260"/>
        <w:jc w:val="center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  <w:i/>
          <w:iCs/>
          <w:color w:val="555555"/>
        </w:rPr>
        <w:t>Figure 7. Predicted vs. actual lifetime revenue by category. Artificial Intelligence, Business, and Project Management lead; Data Science and Programming trail.</w:t>
      </w:r>
    </w:p>
    <w:p w14:paraId="5E9EF13B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8. Business Insights</w:t>
      </w:r>
    </w:p>
    <w:p w14:paraId="12994000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Revenue is a reliable planning number today. Course price is by far the dominant lever — pricing decisions can be made with real confidence in the projected revenue impact.</w:t>
      </w:r>
    </w:p>
    <w:p w14:paraId="1C38F221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volume cannot currently be forecast from course or instructor attributes — price, rating, duration, category, and instructor experience/rating together explain essentially none of the variation in who </w:t>
      </w:r>
      <w:proofErr w:type="spellStart"/>
      <w:r w:rsidRPr="003F1162">
        <w:rPr>
          <w:rFonts w:asciiTheme="minorHAnsi" w:hAnsiTheme="minorHAnsi" w:cstheme="minorHAnsi"/>
        </w:rPr>
        <w:t>enrolls</w:t>
      </w:r>
      <w:proofErr w:type="spellEnd"/>
      <w:r w:rsidRPr="003F1162">
        <w:rPr>
          <w:rFonts w:asciiTheme="minorHAnsi" w:hAnsiTheme="minorHAnsi" w:cstheme="minorHAnsi"/>
        </w:rPr>
        <w:t>, at any time grain tested.</w:t>
      </w:r>
    </w:p>
    <w:p w14:paraId="4FADA352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Course rating (r = 0.29) and price (r = -0.16) show mild raw correlations with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>, but these do not survive rigorous validation — don't lean on them for launch decisions.</w:t>
      </w:r>
    </w:p>
    <w:p w14:paraId="535F57A1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Category performance is uneven: Artificial Intelligence, Business, and Project Management categories generate roughly 2–2.5× the revenue of Data Science or Programming, largely reflecting price differences across categories rather than differential demand.</w:t>
      </w:r>
    </w:p>
    <w:p w14:paraId="0BB1A956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Monthly demand is essentially flat and non-seasonal across the one year of data available (CV ≈ 4.8% for </w:t>
      </w:r>
      <w:proofErr w:type="spellStart"/>
      <w:r w:rsidRPr="003F1162">
        <w:rPr>
          <w:rFonts w:asciiTheme="minorHAnsi" w:hAnsiTheme="minorHAnsi" w:cstheme="minorHAnsi"/>
        </w:rPr>
        <w:t>enrollments</w:t>
      </w:r>
      <w:proofErr w:type="spellEnd"/>
      <w:r w:rsidRPr="003F1162">
        <w:rPr>
          <w:rFonts w:asciiTheme="minorHAnsi" w:hAnsiTheme="minorHAnsi" w:cstheme="minorHAnsi"/>
        </w:rPr>
        <w:t>) — there's no evident month-to-month pattern to plan around yet.</w:t>
      </w:r>
    </w:p>
    <w:p w14:paraId="39BA06A8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9. Recommendations</w:t>
      </w:r>
    </w:p>
    <w:p w14:paraId="309E40A3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9.1 Data collection</w:t>
      </w:r>
    </w:p>
    <w:p w14:paraId="42226C61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Extend the transaction history to 24+ months before re-attempting any time-based (monthly/seasonal) forecasting — 12 months is not enough to separate signal from noise at this volatility level.</w:t>
      </w:r>
    </w:p>
    <w:p w14:paraId="3DA4A3CC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lastRenderedPageBreak/>
        <w:t xml:space="preserve">Capture </w:t>
      </w:r>
      <w:proofErr w:type="spellStart"/>
      <w:r w:rsidRPr="003F1162">
        <w:rPr>
          <w:rFonts w:asciiTheme="minorHAnsi" w:hAnsiTheme="minorHAnsi" w:cstheme="minorHAnsi"/>
        </w:rPr>
        <w:t>behavioral</w:t>
      </w:r>
      <w:proofErr w:type="spellEnd"/>
      <w:r w:rsidRPr="003F1162">
        <w:rPr>
          <w:rFonts w:asciiTheme="minorHAnsi" w:hAnsiTheme="minorHAnsi" w:cstheme="minorHAnsi"/>
        </w:rPr>
        <w:t xml:space="preserve"> and marketing signals not present in this dataset — traffic/impressions, marketing </w:t>
      </w:r>
      <w:proofErr w:type="gramStart"/>
      <w:r w:rsidRPr="003F1162">
        <w:rPr>
          <w:rFonts w:asciiTheme="minorHAnsi" w:hAnsiTheme="minorHAnsi" w:cstheme="minorHAnsi"/>
        </w:rPr>
        <w:t>spend</w:t>
      </w:r>
      <w:proofErr w:type="gramEnd"/>
      <w:r w:rsidRPr="003F1162">
        <w:rPr>
          <w:rFonts w:asciiTheme="minorHAnsi" w:hAnsiTheme="minorHAnsi" w:cstheme="minorHAnsi"/>
        </w:rPr>
        <w:t xml:space="preserve">, referral source, cohort/session data — since course-level static attributes alone (price, rating, duration, instructor stats) do not explain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variation.</w:t>
      </w:r>
    </w:p>
    <w:p w14:paraId="702CABCA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Grow the course </w:t>
      </w:r>
      <w:proofErr w:type="spellStart"/>
      <w:r w:rsidRPr="003F1162">
        <w:rPr>
          <w:rFonts w:asciiTheme="minorHAnsi" w:hAnsiTheme="minorHAnsi" w:cstheme="minorHAnsi"/>
        </w:rPr>
        <w:t>catalog</w:t>
      </w:r>
      <w:proofErr w:type="spellEnd"/>
      <w:r w:rsidRPr="003F1162">
        <w:rPr>
          <w:rFonts w:asciiTheme="minorHAnsi" w:hAnsiTheme="minorHAnsi" w:cstheme="minorHAnsi"/>
        </w:rPr>
        <w:t xml:space="preserve"> beyond 60 courses if course-lifetime </w:t>
      </w:r>
      <w:proofErr w:type="spellStart"/>
      <w:r w:rsidRPr="003F1162">
        <w:rPr>
          <w:rFonts w:asciiTheme="minorHAnsi" w:hAnsiTheme="minorHAnsi" w:cstheme="minorHAnsi"/>
        </w:rPr>
        <w:t>modeling</w:t>
      </w:r>
      <w:proofErr w:type="spellEnd"/>
      <w:r w:rsidRPr="003F1162">
        <w:rPr>
          <w:rFonts w:asciiTheme="minorHAnsi" w:hAnsiTheme="minorHAnsi" w:cstheme="minorHAnsi"/>
        </w:rPr>
        <w:t xml:space="preserve"> is to be pursued further; at n=60, even a well-behaved model's cross-validated R² estimate has an honest error bar of roughly ±0.08 (Section 5.2).</w:t>
      </w:r>
    </w:p>
    <w:p w14:paraId="7CC746AF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9.2 </w:t>
      </w:r>
      <w:proofErr w:type="spellStart"/>
      <w:r w:rsidRPr="003F1162">
        <w:rPr>
          <w:rFonts w:asciiTheme="minorHAnsi" w:hAnsiTheme="minorHAnsi" w:cstheme="minorHAnsi"/>
        </w:rPr>
        <w:t>Modeling</w:t>
      </w:r>
      <w:proofErr w:type="spellEnd"/>
      <w:r w:rsidRPr="003F1162">
        <w:rPr>
          <w:rFonts w:asciiTheme="minorHAnsi" w:hAnsiTheme="minorHAnsi" w:cstheme="minorHAnsi"/>
        </w:rPr>
        <w:t xml:space="preserve"> practice</w:t>
      </w:r>
    </w:p>
    <w:p w14:paraId="03EFB3C5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Report cross-validated R² as a distribution (mean ± std, or a range across repeated splits) rather than a single number, especially at small sample sizes — Section 5.2 shows how easily a single split can mislead.</w:t>
      </w:r>
    </w:p>
    <w:p w14:paraId="1DD03A5A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Keep using the naive-baseline comparison as a standing check before adopting any new model — it caught the lack of monthly signal immediately and cheaply.</w:t>
      </w:r>
    </w:p>
    <w:p w14:paraId="585B417F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Any future price-band, duration-band, or similar manual bucketing should be checked against the actual data range before use — Section 2 documents one such calibration bug that was caught and fixed during this analysis.</w:t>
      </w:r>
    </w:p>
    <w:p w14:paraId="3FEC84D2" w14:textId="77777777" w:rsidR="004732D5" w:rsidRPr="003F1162" w:rsidRDefault="00000000">
      <w:pPr>
        <w:pStyle w:val="Heading2"/>
        <w:spacing w:before="250" w:after="12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9.3 Business use</w:t>
      </w:r>
    </w:p>
    <w:p w14:paraId="6FB04467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Use the revenue model for pricing and category-level revenue planning now — it is reliable and directly actionable.</w:t>
      </w:r>
    </w:p>
    <w:p w14:paraId="583D14A2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Do not use the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model for launch, staffing, or capacity decisions — present it to stakeholders as a documented, evidence-backed negative result with a clear path (Section 9.1) to revisit once richer data is available.</w:t>
      </w:r>
    </w:p>
    <w:p w14:paraId="3A4D7660" w14:textId="77777777" w:rsidR="004732D5" w:rsidRPr="003F1162" w:rsidRDefault="00000000">
      <w:pPr>
        <w:pStyle w:val="Heading1"/>
        <w:spacing w:before="300" w:after="15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10. Limitations</w:t>
      </w:r>
    </w:p>
    <w:p w14:paraId="48C30D74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Small sample size (60 courses, 12 categories × 5) limits how precisely any course-lifetime model's performance can be estimated — see the R² instability analysis in Section 5.2.</w:t>
      </w:r>
    </w:p>
    <w:p w14:paraId="7DE7E70A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Only 12 months of transaction history — too short to assess seasonality or genuine month-to-month trends with confidence.</w:t>
      </w:r>
    </w:p>
    <w:p w14:paraId="44976AE9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>The revenue model's strong performance is partly definitional (</w:t>
      </w:r>
      <w:proofErr w:type="spellStart"/>
      <w:r w:rsidRPr="003F1162">
        <w:rPr>
          <w:rFonts w:asciiTheme="minorHAnsi" w:hAnsiTheme="minorHAnsi" w:cstheme="minorHAnsi"/>
        </w:rPr>
        <w:t>CoursePrice</w:t>
      </w:r>
      <w:proofErr w:type="spellEnd"/>
      <w:r w:rsidRPr="003F1162">
        <w:rPr>
          <w:rFonts w:asciiTheme="minorHAnsi" w:hAnsiTheme="minorHAnsi" w:cstheme="minorHAnsi"/>
        </w:rPr>
        <w:t xml:space="preserve"> is both an input feature and, combined with a near-constant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count, close to the entire target) — it should not be read as evidence of a deep </w:t>
      </w:r>
      <w:proofErr w:type="spellStart"/>
      <w:r w:rsidRPr="003F1162">
        <w:rPr>
          <w:rFonts w:asciiTheme="minorHAnsi" w:hAnsiTheme="minorHAnsi" w:cstheme="minorHAnsi"/>
        </w:rPr>
        <w:t>behavioral</w:t>
      </w:r>
      <w:proofErr w:type="spellEnd"/>
      <w:r w:rsidRPr="003F1162">
        <w:rPr>
          <w:rFonts w:asciiTheme="minorHAnsi" w:hAnsiTheme="minorHAnsi" w:cstheme="minorHAnsi"/>
        </w:rPr>
        <w:t xml:space="preserve"> model of what drives revenue.</w:t>
      </w:r>
    </w:p>
    <w:p w14:paraId="7FED4548" w14:textId="77777777" w:rsidR="004732D5" w:rsidRPr="003F1162" w:rsidRDefault="00000000">
      <w:pPr>
        <w:pStyle w:val="ListParagraph"/>
        <w:numPr>
          <w:ilvl w:val="0"/>
          <w:numId w:val="1"/>
        </w:numPr>
        <w:spacing w:after="80"/>
        <w:rPr>
          <w:rFonts w:asciiTheme="minorHAnsi" w:hAnsiTheme="minorHAnsi" w:cstheme="minorHAnsi"/>
        </w:rPr>
      </w:pPr>
      <w:r w:rsidRPr="003F1162">
        <w:rPr>
          <w:rFonts w:asciiTheme="minorHAnsi" w:hAnsiTheme="minorHAnsi" w:cstheme="minorHAnsi"/>
        </w:rPr>
        <w:t xml:space="preserve">Feature importance for the </w:t>
      </w:r>
      <w:proofErr w:type="spellStart"/>
      <w:r w:rsidRPr="003F1162">
        <w:rPr>
          <w:rFonts w:asciiTheme="minorHAnsi" w:hAnsiTheme="minorHAnsi" w:cstheme="minorHAnsi"/>
        </w:rPr>
        <w:t>enrollment</w:t>
      </w:r>
      <w:proofErr w:type="spellEnd"/>
      <w:r w:rsidRPr="003F1162">
        <w:rPr>
          <w:rFonts w:asciiTheme="minorHAnsi" w:hAnsiTheme="minorHAnsi" w:cstheme="minorHAnsi"/>
        </w:rPr>
        <w:t xml:space="preserve"> model (Figure 6, left) is descriptive of in-sample correlation only, given the model's negative cross-validated R², and should not be cited as a predictive or causal driver list.</w:t>
      </w:r>
    </w:p>
    <w:sectPr w:rsidR="004732D5" w:rsidRPr="003F116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E1D3D"/>
    <w:multiLevelType w:val="hybridMultilevel"/>
    <w:tmpl w:val="AD5C1216"/>
    <w:lvl w:ilvl="0" w:tplc="479A7624">
      <w:start w:val="1"/>
      <w:numFmt w:val="bullet"/>
      <w:lvlText w:val="●"/>
      <w:lvlJc w:val="left"/>
      <w:pPr>
        <w:ind w:left="720" w:hanging="360"/>
      </w:pPr>
    </w:lvl>
    <w:lvl w:ilvl="1" w:tplc="B46C3B48">
      <w:start w:val="1"/>
      <w:numFmt w:val="bullet"/>
      <w:lvlText w:val="○"/>
      <w:lvlJc w:val="left"/>
      <w:pPr>
        <w:ind w:left="1440" w:hanging="360"/>
      </w:pPr>
    </w:lvl>
    <w:lvl w:ilvl="2" w:tplc="AEB4BF28">
      <w:start w:val="1"/>
      <w:numFmt w:val="bullet"/>
      <w:lvlText w:val="■"/>
      <w:lvlJc w:val="left"/>
      <w:pPr>
        <w:ind w:left="2160" w:hanging="360"/>
      </w:pPr>
    </w:lvl>
    <w:lvl w:ilvl="3" w:tplc="0D9C5658">
      <w:start w:val="1"/>
      <w:numFmt w:val="bullet"/>
      <w:lvlText w:val="●"/>
      <w:lvlJc w:val="left"/>
      <w:pPr>
        <w:ind w:left="2880" w:hanging="360"/>
      </w:pPr>
    </w:lvl>
    <w:lvl w:ilvl="4" w:tplc="DA847902">
      <w:start w:val="1"/>
      <w:numFmt w:val="bullet"/>
      <w:lvlText w:val="○"/>
      <w:lvlJc w:val="left"/>
      <w:pPr>
        <w:ind w:left="3600" w:hanging="360"/>
      </w:pPr>
    </w:lvl>
    <w:lvl w:ilvl="5" w:tplc="B2281E6A">
      <w:start w:val="1"/>
      <w:numFmt w:val="bullet"/>
      <w:lvlText w:val="■"/>
      <w:lvlJc w:val="left"/>
      <w:pPr>
        <w:ind w:left="4320" w:hanging="360"/>
      </w:pPr>
    </w:lvl>
    <w:lvl w:ilvl="6" w:tplc="436CEF46">
      <w:start w:val="1"/>
      <w:numFmt w:val="bullet"/>
      <w:lvlText w:val="●"/>
      <w:lvlJc w:val="left"/>
      <w:pPr>
        <w:ind w:left="5040" w:hanging="360"/>
      </w:pPr>
    </w:lvl>
    <w:lvl w:ilvl="7" w:tplc="052004A2">
      <w:start w:val="1"/>
      <w:numFmt w:val="bullet"/>
      <w:lvlText w:val="●"/>
      <w:lvlJc w:val="left"/>
      <w:pPr>
        <w:ind w:left="5760" w:hanging="360"/>
      </w:pPr>
    </w:lvl>
    <w:lvl w:ilvl="8" w:tplc="3AC8574E">
      <w:start w:val="1"/>
      <w:numFmt w:val="bullet"/>
      <w:lvlText w:val="●"/>
      <w:lvlJc w:val="left"/>
      <w:pPr>
        <w:ind w:left="6480" w:hanging="360"/>
      </w:pPr>
    </w:lvl>
  </w:abstractNum>
  <w:num w:numId="1" w16cid:durableId="17565099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2D5"/>
    <w:rsid w:val="002031DB"/>
    <w:rsid w:val="003F1162"/>
    <w:rsid w:val="00473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3F850"/>
  <w15:docId w15:val="{4DBFCBE2-ABF7-4215-B29B-A86A8A1E0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1876</Words>
  <Characters>10694</Characters>
  <Application>Microsoft Office Word</Application>
  <DocSecurity>0</DocSecurity>
  <Lines>89</Lines>
  <Paragraphs>25</Paragraphs>
  <ScaleCrop>false</ScaleCrop>
  <Company/>
  <LinksUpToDate>false</LinksUpToDate>
  <CharactersWithSpaces>12545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Mohit Sharma</cp:lastModifiedBy>
  <cp:revision>2</cp:revision>
  <dcterms:created xsi:type="dcterms:W3CDTF">2026-09-03T07:15:00Z</dcterms:created>
  <dcterms:modified xsi:type="dcterms:W3CDTF">2026-09-07T13:06:00Z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d6783d48-519e-4ea6-b15f-650cc30570f4</vt:lpwstr>
  </property>
</Properties>
</file>