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EduPro — Course Demand &amp; Revenue Forecasting</w:t>
      </w:r>
    </w:p>
    <w:p>
      <w:pPr>
        <w:spacing w:after="40"/>
      </w:pPr>
      <w:r>
        <w:rPr>
          <w:color w:val="555555"/>
          <w:sz w:val="26"/>
          <w:szCs w:val="26"/>
        </w:rPr>
        <w:t xml:space="preserve">Exploratory Data Analysis, Insights &amp; Recommendations</w:t>
      </w:r>
    </w:p>
    <w:p>
      <w:pPr>
        <w:spacing w:after="400"/>
      </w:pPr>
      <w:r>
        <w:rPr>
          <w:i/>
          <w:iCs/>
          <w:color w:val="777777"/>
          <w:sz w:val="20"/>
          <w:szCs w:val="20"/>
        </w:rPr>
        <w:t xml:space="preserve">Internal analysis document — companion to the modeling notebook and Streamlit dashboard.</w:t>
      </w:r>
    </w:p>
    <w:p>
      <w:pPr>
        <w:pStyle w:val="Heading1"/>
        <w:spacing w:after="150" w:before="300"/>
      </w:pPr>
      <w:r>
        <w:t xml:space="preserve">1. Executive Overview</w:t>
      </w:r>
    </w:p>
    <w:p>
      <w:pPr>
        <w:spacing w:after="160"/>
      </w:pPr>
      <w:r>
        <w:t xml:space="preserve">EduPro asked two predictive questions: how many people will enroll in a course, and how much revenue will it generate. This analysis answers both — but not symmetrically. Revenue is genuinely predictable from course attributes (cross-validated R² ≈ 0.97–0.98). Enrollment count is not: every model tested, at every level of aggregation (monthly, category-monthly, and course-lifetime), scored a negative cross-validated R². That is a real, well-evidenced finding about this dataset, not a modeling shortfall, and it is documented here in full — including exactly how unstable the enrollment R² is across different train/test splits, which is the clearest evidence that there is no reliable signal for it to learn.</w:t>
      </w:r>
    </w:p>
    <w:p>
      <w:pPr>
        <w:spacing w:after="160"/>
      </w:pPr>
      <w:r>
        <w:t xml:space="preserve">The practical takeaway: use the revenue model for pricing and planning decisions. Treat the enrollment model as a documented negative result that motivates collecting more history and richer behavioral data, not as a working forecaster.</w:t>
      </w:r>
    </w:p>
    <w:p>
      <w:pPr>
        <w:pStyle w:val="Heading1"/>
        <w:spacing w:after="150" w:before="300"/>
      </w:pPr>
      <w:r>
        <w:t xml:space="preserve">2. Dataset Overview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6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Courses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60 (12 categories × 5 courses each)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Instructors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60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Learners (Users sheet)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3,000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Transactions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10,000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 range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Jan 2025 – Dec 2025 (12 months)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lifetime revenue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$911,323.47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 vs. Paid courses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38 free / 22 paid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Paid course price range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$0.78 – $490.90 (median paid ≈ $280)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Note: an early version of the price-band feature used thresholds ($0–$30–$60) calibrated to the wrong scale for this dataset, which put 18 of 22 paid courses into a single “High” bucket. This was caught and corrected to $0–$150–$300 (Free / Low / Medium / High), which spreads paid courses across bands as 7 / 6 / 9. All results in this document reflect the corrected bucketing.</w:t>
      </w:r>
    </w:p>
    <w:p>
      <w:pPr>
        <w:pStyle w:val="Heading1"/>
        <w:spacing w:after="150" w:before="300"/>
      </w:pPr>
      <w:r>
        <w:t xml:space="preserve">3. Exploratory Data Analysis</w:t>
      </w:r>
    </w:p>
    <w:p>
      <w:pPr>
        <w:pStyle w:val="Heading2"/>
        <w:spacing w:after="120" w:before="250"/>
      </w:pPr>
      <w:r>
        <w:t xml:space="preserve">3.1 Monthly Enrollment &amp; Revenue Are Remarkably Stable</w:t>
      </w:r>
    </w:p>
    <w:p>
      <w:pPr>
        <w:spacing w:after="160"/>
      </w:pPr>
      <w:r>
        <w:t xml:space="preserve">Enrollments and revenue were plotted month by month across the full year of data. Both series move in a narrow band: monthly enrollments range 762–899 (mean 833, coefficient of variation ≈ 4.8%), and monthly revenue ranges $66,984–$83,353 (mean $75,944). There is no visible seasonal pattern or trend — consistent with the near-zero month-to-month autocorrelation quantified in Section 5.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Figure 1. Monthly enrollments and revenue, Jan–Dec 2025.</w:t>
      </w:r>
    </w:p>
    <w:p>
      <w:pPr>
        <w:pStyle w:val="Heading2"/>
        <w:spacing w:after="120" w:before="250"/>
      </w:pPr>
      <w:r>
        <w:t xml:space="preserve">3.2 Price and Rating Show Weak Correlation With Lifetime Enrollment</w:t>
      </w:r>
    </w:p>
    <w:p>
      <w:pPr>
        <w:spacing w:after="160"/>
      </w:pPr>
      <w:r>
        <w:t xml:space="preserve">At the course level, CoursePrice correlates with total lifetime enrollments at r = –0.16, and CourseRating correlates at r = +0.29. Both are real but weak relationships — weak enough that, as Section 5 shows, they do not survive cross-validation once folded into a full feature set with only 60 courses to learn from.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Figure 2. Course price and rating vs. lifetime enrollment, colored by category.</w:t>
      </w:r>
    </w:p>
    <w:p>
      <w:pPr>
        <w:pStyle w:val="Heading2"/>
        <w:spacing w:after="120" w:before="250"/>
      </w:pPr>
      <w:r>
        <w:t xml:space="preserve">3.3 Revenue Is Structurally Tied to Price, Not Enrollment Variation</w:t>
      </w:r>
    </w:p>
    <w:p>
      <w:pPr>
        <w:spacing w:after="160"/>
      </w:pPr>
      <w:r>
        <w:t xml:space="preserve">Two facts about the transaction data explain most of what follows in Section 6: every transaction's Amount equals that course's CoursePrice exactly (100% of 10,000 transactions), and lifetime enrollment counts across the 60 courses vary only about 7.5% around their mean (140–196 enrollments, mean 166.7). In other words, revenue in this dataset is close to a deterministic function of price — CoursePrice × a nearly-constant enrollment count — rather than something that emerges from independently varying demand.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000"/>
      </w:tblGrid>
      <w:tr>
        <w:trPr>
          <w:tblHeader/>
        </w:trPr>
        <w:tc>
          <w:tcPr>
            <w:tcW w:type="dxa" w:w="5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Quantity</w:t>
            </w:r>
          </w:p>
        </w:tc>
        <w:tc>
          <w:tcPr>
            <w:tcW w:type="dxa" w:w="4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Transactions where Amount = CoursePrice exactly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TotalEnrollments per course — mean ± std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166.7 ± 12.5 (CV ≈ 7.5%)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TotalEnrollments per course — range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140 – 196</w:t>
            </w:r>
          </w:p>
        </w:tc>
      </w:tr>
    </w:tbl>
    <w:p>
      <w:pPr>
        <w:pStyle w:val="Heading1"/>
        <w:spacing w:after="150" w:before="300"/>
      </w:pPr>
      <w:r>
        <w:t xml:space="preserve">4. Modeling Approach (Summary)</w:t>
      </w:r>
    </w:p>
    <w:p>
      <w:pPr>
        <w:spacing w:after="160"/>
      </w:pPr>
      <w:r>
        <w:t xml:space="preserve">Three levels of granularity were modeled: (1) monthly, per-course enrollment with lag/rolling features; (2) monthly, per-category revenue with the same approach aggregated up; and (3) course-lifetime totals (enrollments and revenue) from static course and instructor attributes. Six regression approaches were compared at each relevant level — Linear, Ridge, Lasso, Poisson, Random Forest, and Gradient Boosting — always benchmarked against a naive baseline, always using cross-validation appropriate to the grain (time-respecting expanding-window CV for the monthly views, standard 5-fold CV for the cross-sectional course-lifetime view). The winning model per target was then hyperparameter-tuned, checked for train-vs-CV overfitting, and given bootstrap-based 90% prediction intervals. CourseID was excluded as a feature throughout — with only 60 courses, one-hot encoding it would let the model memorize individual courses instead of learning generalizable patterns.</w:t>
      </w:r>
    </w:p>
    <w:p>
      <w:pPr>
        <w:pStyle w:val="Heading1"/>
        <w:spacing w:after="150" w:before="300"/>
      </w:pPr>
      <w:r>
        <w:t xml:space="preserve">5. Key Finding 1 — Enrollment Count Is Not Predictable, and the R² Instability Proves It</w:t>
      </w:r>
    </w:p>
    <w:p>
      <w:pPr>
        <w:pStyle w:val="Heading2"/>
        <w:spacing w:after="120" w:before="250"/>
      </w:pPr>
      <w:r>
        <w:t xml:space="preserve">5.1 Every model, every grain, negative cross-validated R²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50"/>
        <w:gridCol w:w="1950"/>
        <w:gridCol w:w="27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Grain</w:t>
            </w:r>
          </w:p>
        </w:tc>
        <w:tc>
          <w:tcPr>
            <w:tcW w:type="dxa" w:w="17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Naive baseline R²</w:t>
            </w:r>
          </w:p>
        </w:tc>
        <w:tc>
          <w:tcPr>
            <w:tcW w:type="dxa" w:w="19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Best model</w:t>
            </w:r>
          </w:p>
        </w:tc>
        <w:tc>
          <w:tcPr>
            <w:tcW w:type="dxa" w:w="27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Best model R²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Monthly, per-course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-1.10</w:t>
            </w:r>
          </w:p>
        </w:tc>
        <w:tc>
          <w:tcPr>
            <w:tcW w:type="dxa" w:w="1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Random Forest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-0.11 (beats naive, still unusable)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Course-lifetime (untuned)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Random Forest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-0.21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Course-lifetime (tuned)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Random Forest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-0.17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Month-to-month enrollment autocorrelation is 0.023 — statistically zero. A course's enrollment this month tells you almost nothing about next month, which is why even a naive persistence baseline already scores R² = -1.10, and no model meaningfully beats it.</w:t>
      </w:r>
    </w:p>
    <w:p>
      <w:pPr>
        <w:pStyle w:val="Heading2"/>
        <w:spacing w:after="120" w:before="250"/>
      </w:pPr>
      <w:r>
        <w:t xml:space="preserve">5.2 The R² itself is unstable — direct evidence of no real signal</w:t>
      </w:r>
    </w:p>
    <w:p>
      <w:pPr>
        <w:spacing w:after="160"/>
      </w:pPr>
      <w:r>
        <w:t xml:space="preserve">Rather than reporting one R² number, the enrollment model was cross-validated repeatedly to show how much that number moves depending on which courses happen to land in the test fold. Within a single 5-fold split, per-fold R² ranges from -0.65 to +0.18 — it flips sign depending on the fold. Repeating the entire 5-fold CV with 20 different random splits, the mean R² itself ranges from -0.19 to +0.14 (mean -0.07, std 0.08) — meaning a differently-drawn split could easily have produced a misleadingly “positive” headline number purely by chance.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Figure 3. Per-fold R² for the enrollment model vs. the revenue model, same 5-fold split. Enrollment swings from -0.65 to +0.18; revenue stays tightly between 0.94 and 0.99.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Figure 4. Distribution of mean CV R² across 20 independently-randomized 5-fold splits. The enrollment model's mean R² itself is a moving target; the revenue model's is not.</w:t>
      </w:r>
    </w:p>
    <w:p>
      <w:pPr>
        <w:pStyle w:val="Heading2"/>
        <w:spacing w:after="120" w:before="250"/>
      </w:pPr>
      <w:r>
        <w:t xml:space="preserve">5.3 Overfitting confirms it</w:t>
      </w:r>
    </w:p>
    <w:p>
      <w:pPr>
        <w:spacing w:after="160"/>
      </w:pPr>
      <w:r>
        <w:t xml:space="preserve">Fitting the tuned enrollment model on all 60 courses and scoring it on those same 60 courses gives R² = 0.56 — it looks like it's learned something. But the honest, cross-validated estimate is R² = -0.17, a gap of 0.73. That gap is the signature of a model fitting noise in a small sample rather than a generalizable pattern. The revenue model, by contrast, shows almost no gap (0.997 train vs. 0.974 CV) — see Figure 5 below.</w:t>
      </w:r>
    </w:p>
    <w:p>
      <w:pPr>
        <w:spacing w:after="160"/>
      </w:pPr>
      <w:r>
        <w:t xml:space="preserve">Practical implication: feature importance extracted from the enrollment model (Figure 6, left panel) describes in-sample correlation structure only — it should not be quoted as a predictive or causal driver list.</w:t>
      </w:r>
    </w:p>
    <w:p>
      <w:pPr>
        <w:pStyle w:val="Heading1"/>
        <w:spacing w:after="150" w:before="300"/>
      </w:pPr>
      <w:r>
        <w:t xml:space="preserve">6. Key Finding 2 — Revenue Is Predictable, Mostly Because It's Mechanical</w:t>
      </w:r>
    </w:p>
    <w:p>
      <w:pPr>
        <w:spacing w:after="160"/>
      </w:pPr>
      <w:r>
        <w:t xml:space="preserve">The revenue model's cross-validated R² is 0.974 (tuned Lasso; Gradient Boosting close behind at 0.981), and — unlike the enrollment model — that number is stable: across the same 20 randomized splits used in Section 5, mean R² ranges only 0.953–0.991 (std 0.008). The train-vs-CV gap is small (0.997 vs. 0.974), so this is a genuinely reliable model, not an artifact of a lucky split.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Figure 5. Train (in-sample) vs. cross-validated R² for both models. The enrollment model's large gap signals overfitting to noise; the revenue model's small gap signals a genuine fit.</w:t>
      </w:r>
    </w:p>
    <w:p>
      <w:pPr>
        <w:spacing w:after="160"/>
      </w:pPr>
      <w:r>
        <w:t xml:space="preserve">That reliability comes with an important caveat established in Section 3.3: every transaction's Amount equals CoursePrice exactly, and enrollment counts vary only ~7.5% around their mean. So TotalRevenue ≈ CoursePrice × ~166, and CoursePrice is already a direct input feature — the model is largely recovering near-arithmetic structure, not discovering an independent demand-driven relationship. The feature importance chart confirms this directly: CoursePrice's importance (2.85) dwarfs every other feature (all below 0.06).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Figure 6. Permutation importance, enrollment model (left, descriptive only) vs. revenue model (right, CoursePrice dominates as expected).</w:t>
      </w:r>
    </w:p>
    <w:p>
      <w:pPr>
        <w:spacing w:after="160"/>
      </w:pPr>
      <w:r>
        <w:t xml:space="preserve">This does not make the revenue model useless — revenue genuinely is price-driven in this business, and that is a legitimately useful planning fact. It should simply be described in the paper and to stakeholders as a pricing/revenue-planning result, not as a demand-forecasting breakthrough.</w:t>
      </w:r>
    </w:p>
    <w:p>
      <w:pPr>
        <w:pStyle w:val="Heading1"/>
        <w:spacing w:after="150" w:before="300"/>
      </w:pPr>
      <w:r>
        <w:t xml:space="preserve">7. Category-Level View</w:t>
      </w:r>
    </w:p>
    <w:p>
      <w:pPr>
        <w:spacing w:after="160"/>
      </w:pPr>
      <w:r>
        <w:t xml:space="preserve">Rolling the course-level revenue model's predictions up by category gives a stable, defensible revenue-by-category picture (a monthly category-revenue model was also tested directly and looked predictable at R² ≈ 0.88, but that signal turned out to be structural — driven by which courses sit in each category rather than a genuine month-to-month trend — so the course-level roll-up below is the more honest number).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Figure 7. Predicted vs. actual lifetime revenue by category. Artificial Intelligence, Business, and Project Management lead; Data Science and Programming trail.</w:t>
      </w:r>
    </w:p>
    <w:p>
      <w:pPr>
        <w:pStyle w:val="Heading1"/>
        <w:spacing w:after="150" w:before="300"/>
      </w:pPr>
      <w:r>
        <w:t xml:space="preserve">8. Business Insights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is a reliable planning number today. Course price is by far the dominant lever — pricing decisions can be made with real confidence in the projected revenue impact.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Enrollment volume cannot currently be forecast from course or instructor attributes — price, rating, duration, category, and instructor experience/rating together explain essentially none of the variation in who enrolls, at any time grain tested.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Course rating (r = 0.29) and price (r = -0.16) show mild raw correlations with enrollment, but these do not survive rigorous validation — don't lean on them for launch decisions.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 performance is uneven: Artificial Intelligence, Business, and Project Management categories generate roughly 2–2.5× the revenue of Data Science or Programming, largely reflecting price differences across categories rather than differential demand.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Monthly demand is essentially flat and non-seasonal across the one year of data available (CV ≈ 4.8% for enrollments) — there's no evident month-to-month pattern to plan around yet.</w:t>
      </w:r>
    </w:p>
    <w:p>
      <w:pPr>
        <w:pStyle w:val="Heading1"/>
        <w:spacing w:after="150" w:before="300"/>
      </w:pPr>
      <w:r>
        <w:t xml:space="preserve">9. Recommendations</w:t>
      </w:r>
    </w:p>
    <w:p>
      <w:pPr>
        <w:pStyle w:val="Heading2"/>
        <w:spacing w:after="120" w:before="250"/>
      </w:pPr>
      <w:r>
        <w:t xml:space="preserve">9.1 Data collection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Extend the transaction history to 24+ months before re-attempting any time-based (monthly/seasonal) forecasting — 12 months is not enough to separate signal from noise at this volatility level.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Capture behavioral and marketing signals not present in this dataset — traffic/impressions, marketing spend, referral source, cohort/session data — since course-level static attributes alone (price, rating, duration, instructor stats) do not explain enrollment variation.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Grow the course catalog beyond 60 courses if course-lifetime modeling is to be pursued further; at n=60, even a well-behaved model's cross-validated R² estimate has an honest error bar of roughly ±0.08 (Section 5.2).</w:t>
      </w:r>
    </w:p>
    <w:p>
      <w:pPr>
        <w:pStyle w:val="Heading2"/>
        <w:spacing w:after="120" w:before="250"/>
      </w:pPr>
      <w:r>
        <w:t xml:space="preserve">9.2 Modeling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cross-validated R² as a distribution (mean ± std, or a range across repeated splits) rather than a single number, especially at small sample sizes — Section 5.2 shows how easily a single split can mislead.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using the naive-baseline comparison as a standing check before adopting any new model — it caught the lack of monthly signal immediately and cheaply.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future price-band, duration-band, or similar manual bucketing should be checked against the actual data range before use — Section 2 documents one such calibration bug that was caught and fixed during this analysis.</w:t>
      </w:r>
    </w:p>
    <w:p>
      <w:pPr>
        <w:pStyle w:val="Heading2"/>
        <w:spacing w:after="120" w:before="250"/>
      </w:pPr>
      <w:r>
        <w:t xml:space="preserve">9.3 Business use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the revenue model for pricing and category-level revenue planning now — it is reliable and directly actionable.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use the enrollment model for launch, staffing, or capacity decisions — present it to stakeholders as a documented, evidence-backed negative result with a clear path (Section 9.1) to revisit once richer data is available.</w:t>
      </w:r>
    </w:p>
    <w:p>
      <w:pPr>
        <w:pStyle w:val="Heading1"/>
        <w:spacing w:after="150" w:before="300"/>
      </w:pPr>
      <w:r>
        <w:t xml:space="preserve">10.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Small sample size (60 courses, 12 categories × 5) limits how precisely any course-lifetime model's performance can be estimated — see the R² instability analysis in Section 5.2.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12 months of transaction history — too short to assess seasonality or genuine month-to-month trends with confidence.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revenue model's strong performance is partly definitional (CoursePrice is both an input feature and, combined with a near-constant enrollment count, close to the entire target) — it should not be read as evidence of a deep behavioral model of what drives revenue.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importance for the enrollment model (Figure 6, left) is descriptive of in-sample correlation only, given the model's negative cross-validated R², and should not be cited as a predictive or causal driver list.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c022612572b3ca282a3e35e38cb6cb04d17239.png"/><Relationship Id="rId8" Type="http://schemas.openxmlformats.org/officeDocument/2006/relationships/image" Target="media/c6949bed504643b2a85a3c8191e84a96cca464dd.png"/><Relationship Id="rId9" Type="http://schemas.openxmlformats.org/officeDocument/2006/relationships/image" Target="media/31d2532c16641bc0e0ecfcf64600dfc4eb7b6f5b.png"/><Relationship Id="rId10" Type="http://schemas.openxmlformats.org/officeDocument/2006/relationships/image" Target="media/4d9acd0e27d0ffafd91d882c196e74fafd3e916b.png"/><Relationship Id="rId11" Type="http://schemas.openxmlformats.org/officeDocument/2006/relationships/image" Target="media/1606f6797758825de1f620553e12e0ba75557e81.png"/><Relationship Id="rId12" Type="http://schemas.openxmlformats.org/officeDocument/2006/relationships/image" Target="media/530051cb92fa5a8fbe670d5e273118cb7fd4220b.png"/><Relationship Id="rId13" Type="http://schemas.openxmlformats.org/officeDocument/2006/relationships/image" Target="media/3eae4edfb318cd594635dac63997339cd4facf5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2026-09-03T07:15:11.369Z</dcterms:created>
  <dcterms:modified xsi:type="dcterms:W3CDTF">2026-09-03T07:15:11.369Z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