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E5F6" w14:textId="77777777" w:rsidR="002F6147" w:rsidRDefault="001D718F">
      <w:pPr>
        <w:pStyle w:val="FirstParagraph"/>
      </w:pPr>
      <w:r>
        <w:t>Question 3</w:t>
      </w:r>
    </w:p>
    <w:p w14:paraId="4F23E8A8" w14:textId="77777777" w:rsidR="002F6147" w:rsidRDefault="001D718F">
      <w:pPr>
        <w:pStyle w:val="a0"/>
      </w:pPr>
      <w:r>
        <w:t xml:space="preserve">(a) </w:t>
      </w:r>
    </w:p>
    <w:p w14:paraId="2FA14A27" w14:textId="77777777" w:rsidR="002F6147" w:rsidRPr="00931D8F" w:rsidRDefault="001D718F">
      <w:pPr>
        <w:numPr>
          <w:ilvl w:val="0"/>
          <w:numId w:val="2"/>
        </w:numPr>
        <w:rPr>
          <w:b/>
          <w:bCs/>
        </w:rPr>
      </w:pPr>
      <w:r w:rsidRPr="00931D8F">
        <w:rPr>
          <w:b/>
          <w:bCs/>
        </w:rPr>
        <w:t>Average Excess Return</w:t>
      </w:r>
    </w:p>
    <w:tbl>
      <w:tblPr>
        <w:tblStyle w:val="Table"/>
        <w:tblW w:w="0" w:type="pct"/>
        <w:tblLook w:val="0020" w:firstRow="1" w:lastRow="0" w:firstColumn="0" w:lastColumn="0" w:noHBand="0" w:noVBand="0"/>
      </w:tblPr>
      <w:tblGrid>
        <w:gridCol w:w="4108"/>
        <w:gridCol w:w="2626"/>
      </w:tblGrid>
      <w:tr w:rsidR="002F6147" w14:paraId="6FF7412E" w14:textId="77777777">
        <w:tc>
          <w:tcPr>
            <w:tcW w:w="0" w:type="auto"/>
            <w:tcBorders>
              <w:bottom w:val="single" w:sz="0" w:space="0" w:color="auto"/>
            </w:tcBorders>
            <w:vAlign w:val="bottom"/>
          </w:tcPr>
          <w:p w14:paraId="59A67AD4" w14:textId="77777777" w:rsidR="002F6147" w:rsidRDefault="001D718F">
            <w:pPr>
              <w:pStyle w:val="Compact"/>
              <w:numPr>
                <w:ilvl w:val="0"/>
                <w:numId w:val="1"/>
              </w:numPr>
            </w:pPr>
            <w:r>
              <w:t>Bond</w:t>
            </w:r>
          </w:p>
        </w:tc>
        <w:tc>
          <w:tcPr>
            <w:tcW w:w="0" w:type="auto"/>
            <w:tcBorders>
              <w:bottom w:val="single" w:sz="0" w:space="0" w:color="auto"/>
            </w:tcBorders>
            <w:vAlign w:val="bottom"/>
          </w:tcPr>
          <w:p w14:paraId="62C30DDA" w14:textId="77777777" w:rsidR="002F6147" w:rsidRDefault="001D718F">
            <w:pPr>
              <w:pStyle w:val="Compact"/>
              <w:numPr>
                <w:ilvl w:val="0"/>
                <w:numId w:val="1"/>
              </w:numPr>
            </w:pPr>
            <w:r>
              <w:t>Excess Return</w:t>
            </w:r>
          </w:p>
        </w:tc>
      </w:tr>
      <w:tr w:rsidR="002F6147" w14:paraId="4668A25E" w14:textId="77777777">
        <w:tc>
          <w:tcPr>
            <w:tcW w:w="0" w:type="auto"/>
          </w:tcPr>
          <w:p w14:paraId="7B8C6B82" w14:textId="77777777" w:rsidR="002F6147" w:rsidRDefault="001D718F">
            <w:pPr>
              <w:pStyle w:val="Compact"/>
              <w:numPr>
                <w:ilvl w:val="0"/>
                <w:numId w:val="1"/>
              </w:numPr>
            </w:pPr>
            <w:r>
              <w:t>SB Non-US Bonds</w:t>
            </w:r>
          </w:p>
        </w:tc>
        <w:tc>
          <w:tcPr>
            <w:tcW w:w="0" w:type="auto"/>
          </w:tcPr>
          <w:p w14:paraId="55054659" w14:textId="77777777" w:rsidR="002F6147" w:rsidRDefault="001D718F">
            <w:pPr>
              <w:pStyle w:val="Compact"/>
              <w:numPr>
                <w:ilvl w:val="0"/>
                <w:numId w:val="1"/>
              </w:numPr>
            </w:pPr>
            <w:r>
              <w:t>0.84%</w:t>
            </w:r>
          </w:p>
        </w:tc>
      </w:tr>
      <w:tr w:rsidR="002F6147" w14:paraId="18C03DD1" w14:textId="77777777">
        <w:tc>
          <w:tcPr>
            <w:tcW w:w="0" w:type="auto"/>
          </w:tcPr>
          <w:p w14:paraId="3729C86A" w14:textId="77777777" w:rsidR="002F6147" w:rsidRDefault="001D718F">
            <w:pPr>
              <w:pStyle w:val="Compact"/>
              <w:numPr>
                <w:ilvl w:val="0"/>
                <w:numId w:val="1"/>
              </w:numPr>
            </w:pPr>
            <w:r>
              <w:t>MSCI EAFE</w:t>
            </w:r>
          </w:p>
        </w:tc>
        <w:tc>
          <w:tcPr>
            <w:tcW w:w="0" w:type="auto"/>
          </w:tcPr>
          <w:p w14:paraId="58FA634C" w14:textId="77777777" w:rsidR="002F6147" w:rsidRDefault="001D718F">
            <w:pPr>
              <w:pStyle w:val="Compact"/>
              <w:numPr>
                <w:ilvl w:val="0"/>
                <w:numId w:val="1"/>
              </w:numPr>
            </w:pPr>
            <w:r>
              <w:t>1.03%</w:t>
            </w:r>
          </w:p>
        </w:tc>
      </w:tr>
      <w:tr w:rsidR="002F6147" w14:paraId="35F44331" w14:textId="77777777">
        <w:tc>
          <w:tcPr>
            <w:tcW w:w="0" w:type="auto"/>
          </w:tcPr>
          <w:p w14:paraId="22104149" w14:textId="77777777" w:rsidR="002F6147" w:rsidRDefault="001D718F">
            <w:pPr>
              <w:pStyle w:val="Compact"/>
              <w:numPr>
                <w:ilvl w:val="0"/>
                <w:numId w:val="1"/>
              </w:numPr>
            </w:pPr>
            <w:r>
              <w:t>CRSP VW US common stocks</w:t>
            </w:r>
          </w:p>
        </w:tc>
        <w:tc>
          <w:tcPr>
            <w:tcW w:w="0" w:type="auto"/>
          </w:tcPr>
          <w:p w14:paraId="64A5567F" w14:textId="77777777" w:rsidR="002F6147" w:rsidRDefault="001D718F">
            <w:pPr>
              <w:pStyle w:val="Compact"/>
              <w:numPr>
                <w:ilvl w:val="0"/>
                <w:numId w:val="1"/>
              </w:numPr>
            </w:pPr>
            <w:r>
              <w:t>0.85%</w:t>
            </w:r>
          </w:p>
        </w:tc>
      </w:tr>
      <w:tr w:rsidR="002F6147" w14:paraId="3E166ADC" w14:textId="77777777">
        <w:tc>
          <w:tcPr>
            <w:tcW w:w="0" w:type="auto"/>
          </w:tcPr>
          <w:p w14:paraId="76C28EB5" w14:textId="77777777" w:rsidR="002F6147" w:rsidRDefault="001D718F">
            <w:pPr>
              <w:pStyle w:val="Compact"/>
              <w:numPr>
                <w:ilvl w:val="0"/>
                <w:numId w:val="1"/>
              </w:numPr>
            </w:pPr>
            <w:r>
              <w:t>US Corp Bonds</w:t>
            </w:r>
          </w:p>
        </w:tc>
        <w:tc>
          <w:tcPr>
            <w:tcW w:w="0" w:type="auto"/>
          </w:tcPr>
          <w:p w14:paraId="20E9A2C7" w14:textId="77777777" w:rsidR="002F6147" w:rsidRDefault="001D718F">
            <w:pPr>
              <w:pStyle w:val="Compact"/>
              <w:numPr>
                <w:ilvl w:val="0"/>
                <w:numId w:val="1"/>
              </w:numPr>
            </w:pPr>
            <w:r>
              <w:t>0.49%</w:t>
            </w:r>
          </w:p>
        </w:tc>
      </w:tr>
      <w:tr w:rsidR="00931D8F" w14:paraId="6B544137" w14:textId="77777777">
        <w:tc>
          <w:tcPr>
            <w:tcW w:w="0" w:type="auto"/>
          </w:tcPr>
          <w:p w14:paraId="74D4A042" w14:textId="77777777" w:rsidR="00931D8F" w:rsidRDefault="00931D8F">
            <w:pPr>
              <w:pStyle w:val="Compact"/>
              <w:numPr>
                <w:ilvl w:val="0"/>
                <w:numId w:val="1"/>
              </w:numPr>
            </w:pPr>
          </w:p>
        </w:tc>
        <w:tc>
          <w:tcPr>
            <w:tcW w:w="0" w:type="auto"/>
          </w:tcPr>
          <w:p w14:paraId="1C14F6FE" w14:textId="77777777" w:rsidR="00931D8F" w:rsidRDefault="00931D8F">
            <w:pPr>
              <w:pStyle w:val="Compact"/>
              <w:numPr>
                <w:ilvl w:val="0"/>
                <w:numId w:val="1"/>
              </w:numPr>
            </w:pPr>
          </w:p>
        </w:tc>
      </w:tr>
    </w:tbl>
    <w:p w14:paraId="7D0E4718" w14:textId="77777777" w:rsidR="002F6147" w:rsidRPr="00931D8F" w:rsidRDefault="001D718F">
      <w:pPr>
        <w:numPr>
          <w:ilvl w:val="0"/>
          <w:numId w:val="2"/>
        </w:numPr>
        <w:rPr>
          <w:b/>
          <w:bCs/>
        </w:rPr>
      </w:pPr>
      <w:r w:rsidRPr="00931D8F">
        <w:rPr>
          <w:b/>
          <w:bCs/>
        </w:rPr>
        <w:t>Standard Deviation</w:t>
      </w:r>
    </w:p>
    <w:tbl>
      <w:tblPr>
        <w:tblStyle w:val="Table"/>
        <w:tblW w:w="0" w:type="pct"/>
        <w:tblLook w:val="0020" w:firstRow="1" w:lastRow="0" w:firstColumn="0" w:lastColumn="0" w:noHBand="0" w:noVBand="0"/>
      </w:tblPr>
      <w:tblGrid>
        <w:gridCol w:w="4108"/>
        <w:gridCol w:w="3153"/>
      </w:tblGrid>
      <w:tr w:rsidR="002F6147" w14:paraId="79402402" w14:textId="77777777">
        <w:tc>
          <w:tcPr>
            <w:tcW w:w="0" w:type="auto"/>
            <w:tcBorders>
              <w:bottom w:val="single" w:sz="0" w:space="0" w:color="auto"/>
            </w:tcBorders>
            <w:vAlign w:val="bottom"/>
          </w:tcPr>
          <w:p w14:paraId="27CA675F" w14:textId="77777777" w:rsidR="002F6147" w:rsidRDefault="001D718F">
            <w:pPr>
              <w:pStyle w:val="Compact"/>
              <w:numPr>
                <w:ilvl w:val="0"/>
                <w:numId w:val="1"/>
              </w:numPr>
            </w:pPr>
            <w:r>
              <w:t>Bond</w:t>
            </w:r>
          </w:p>
        </w:tc>
        <w:tc>
          <w:tcPr>
            <w:tcW w:w="0" w:type="auto"/>
            <w:tcBorders>
              <w:bottom w:val="single" w:sz="0" w:space="0" w:color="auto"/>
            </w:tcBorders>
            <w:vAlign w:val="bottom"/>
          </w:tcPr>
          <w:p w14:paraId="1AEC6089" w14:textId="77777777" w:rsidR="002F6147" w:rsidRDefault="001D718F">
            <w:pPr>
              <w:pStyle w:val="Compact"/>
              <w:numPr>
                <w:ilvl w:val="0"/>
                <w:numId w:val="1"/>
              </w:numPr>
            </w:pPr>
            <w:r>
              <w:t>Standard Deviation</w:t>
            </w:r>
          </w:p>
        </w:tc>
      </w:tr>
      <w:tr w:rsidR="002F6147" w14:paraId="3487836D" w14:textId="77777777">
        <w:tc>
          <w:tcPr>
            <w:tcW w:w="0" w:type="auto"/>
          </w:tcPr>
          <w:p w14:paraId="2CB2626E" w14:textId="77777777" w:rsidR="002F6147" w:rsidRDefault="001D718F">
            <w:pPr>
              <w:pStyle w:val="Compact"/>
              <w:numPr>
                <w:ilvl w:val="0"/>
                <w:numId w:val="1"/>
              </w:numPr>
            </w:pPr>
            <w:r>
              <w:t>SB Non-US Bonds</w:t>
            </w:r>
          </w:p>
        </w:tc>
        <w:tc>
          <w:tcPr>
            <w:tcW w:w="0" w:type="auto"/>
          </w:tcPr>
          <w:p w14:paraId="5276D99F" w14:textId="77777777" w:rsidR="002F6147" w:rsidRDefault="001D718F">
            <w:pPr>
              <w:pStyle w:val="Compact"/>
              <w:numPr>
                <w:ilvl w:val="0"/>
                <w:numId w:val="1"/>
              </w:numPr>
            </w:pPr>
            <w:r>
              <w:t>3.67%</w:t>
            </w:r>
          </w:p>
        </w:tc>
      </w:tr>
      <w:tr w:rsidR="002F6147" w14:paraId="3C108AD7" w14:textId="77777777">
        <w:tc>
          <w:tcPr>
            <w:tcW w:w="0" w:type="auto"/>
          </w:tcPr>
          <w:p w14:paraId="4DC9BE32" w14:textId="77777777" w:rsidR="002F6147" w:rsidRDefault="001D718F">
            <w:pPr>
              <w:pStyle w:val="Compact"/>
              <w:numPr>
                <w:ilvl w:val="0"/>
                <w:numId w:val="1"/>
              </w:numPr>
            </w:pPr>
            <w:r>
              <w:t>MSCI EAFE</w:t>
            </w:r>
          </w:p>
        </w:tc>
        <w:tc>
          <w:tcPr>
            <w:tcW w:w="0" w:type="auto"/>
          </w:tcPr>
          <w:p w14:paraId="4F925696" w14:textId="77777777" w:rsidR="002F6147" w:rsidRDefault="001D718F">
            <w:pPr>
              <w:pStyle w:val="Compact"/>
              <w:numPr>
                <w:ilvl w:val="0"/>
                <w:numId w:val="1"/>
              </w:numPr>
            </w:pPr>
            <w:r>
              <w:t>5.87%</w:t>
            </w:r>
          </w:p>
        </w:tc>
      </w:tr>
      <w:tr w:rsidR="002F6147" w14:paraId="43122AFC" w14:textId="77777777">
        <w:tc>
          <w:tcPr>
            <w:tcW w:w="0" w:type="auto"/>
          </w:tcPr>
          <w:p w14:paraId="61AB257B" w14:textId="77777777" w:rsidR="002F6147" w:rsidRDefault="001D718F">
            <w:pPr>
              <w:pStyle w:val="Compact"/>
              <w:numPr>
                <w:ilvl w:val="0"/>
                <w:numId w:val="1"/>
              </w:numPr>
            </w:pPr>
            <w:r>
              <w:t>CRSP VW US common stocks</w:t>
            </w:r>
          </w:p>
        </w:tc>
        <w:tc>
          <w:tcPr>
            <w:tcW w:w="0" w:type="auto"/>
          </w:tcPr>
          <w:p w14:paraId="7DC9D58B" w14:textId="77777777" w:rsidR="002F6147" w:rsidRDefault="001D718F">
            <w:pPr>
              <w:pStyle w:val="Compact"/>
              <w:numPr>
                <w:ilvl w:val="0"/>
                <w:numId w:val="1"/>
              </w:numPr>
            </w:pPr>
            <w:r>
              <w:t>4.73%</w:t>
            </w:r>
          </w:p>
        </w:tc>
      </w:tr>
      <w:tr w:rsidR="002F6147" w14:paraId="2E64531A" w14:textId="77777777">
        <w:tc>
          <w:tcPr>
            <w:tcW w:w="0" w:type="auto"/>
          </w:tcPr>
          <w:p w14:paraId="2B07D832" w14:textId="77777777" w:rsidR="002F6147" w:rsidRDefault="001D718F">
            <w:pPr>
              <w:pStyle w:val="Compact"/>
              <w:numPr>
                <w:ilvl w:val="0"/>
                <w:numId w:val="1"/>
              </w:numPr>
            </w:pPr>
            <w:r>
              <w:t>US Corp Bonds</w:t>
            </w:r>
          </w:p>
        </w:tc>
        <w:tc>
          <w:tcPr>
            <w:tcW w:w="0" w:type="auto"/>
          </w:tcPr>
          <w:p w14:paraId="66FDB70D" w14:textId="77777777" w:rsidR="002F6147" w:rsidRDefault="001D718F">
            <w:pPr>
              <w:pStyle w:val="Compact"/>
              <w:numPr>
                <w:ilvl w:val="0"/>
                <w:numId w:val="1"/>
              </w:numPr>
            </w:pPr>
            <w:r>
              <w:t>1.57%</w:t>
            </w:r>
          </w:p>
        </w:tc>
      </w:tr>
      <w:tr w:rsidR="00931D8F" w14:paraId="01E698DF" w14:textId="77777777">
        <w:tc>
          <w:tcPr>
            <w:tcW w:w="0" w:type="auto"/>
          </w:tcPr>
          <w:p w14:paraId="63A93940" w14:textId="77777777" w:rsidR="00931D8F" w:rsidRDefault="00931D8F">
            <w:pPr>
              <w:pStyle w:val="Compact"/>
              <w:numPr>
                <w:ilvl w:val="0"/>
                <w:numId w:val="1"/>
              </w:numPr>
            </w:pPr>
          </w:p>
        </w:tc>
        <w:tc>
          <w:tcPr>
            <w:tcW w:w="0" w:type="auto"/>
          </w:tcPr>
          <w:p w14:paraId="6E064734" w14:textId="77777777" w:rsidR="00931D8F" w:rsidRDefault="00931D8F">
            <w:pPr>
              <w:pStyle w:val="Compact"/>
              <w:numPr>
                <w:ilvl w:val="0"/>
                <w:numId w:val="1"/>
              </w:numPr>
            </w:pPr>
          </w:p>
        </w:tc>
      </w:tr>
    </w:tbl>
    <w:p w14:paraId="5631C019" w14:textId="645475B7" w:rsidR="002F6147" w:rsidRDefault="001D718F" w:rsidP="00931D8F">
      <w:pPr>
        <w:numPr>
          <w:ilvl w:val="0"/>
          <w:numId w:val="2"/>
        </w:numPr>
      </w:pPr>
      <w:r w:rsidRPr="00931D8F">
        <w:rPr>
          <w:b/>
          <w:bCs/>
        </w:rPr>
        <w:t>Correlation Matrix</w:t>
      </w:r>
      <w:r>
        <w:rPr>
          <w:noProof/>
        </w:rPr>
        <w:drawing>
          <wp:inline distT="0" distB="0" distL="0" distR="0" wp14:anchorId="109EE80D" wp14:editId="3B38EBBA">
            <wp:extent cx="5334000" cy="6946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bytedance/Library/Application Support/typora-user-images/image-20210212191945259.png"/>
                    <pic:cNvPicPr>
                      <a:picLocks noChangeAspect="1" noChangeArrowheads="1"/>
                    </pic:cNvPicPr>
                  </pic:nvPicPr>
                  <pic:blipFill>
                    <a:blip r:embed="rId7"/>
                    <a:stretch>
                      <a:fillRect/>
                    </a:stretch>
                  </pic:blipFill>
                  <pic:spPr bwMode="auto">
                    <a:xfrm>
                      <a:off x="0" y="0"/>
                      <a:ext cx="5334000" cy="694660"/>
                    </a:xfrm>
                    <a:prstGeom prst="rect">
                      <a:avLst/>
                    </a:prstGeom>
                    <a:noFill/>
                    <a:ln w="9525">
                      <a:noFill/>
                      <a:headEnd/>
                      <a:tailEnd/>
                    </a:ln>
                  </pic:spPr>
                </pic:pic>
              </a:graphicData>
            </a:graphic>
          </wp:inline>
        </w:drawing>
      </w:r>
    </w:p>
    <w:p w14:paraId="4DA360A3" w14:textId="77777777" w:rsidR="002F6147" w:rsidRDefault="002F6147">
      <w:pPr>
        <w:pStyle w:val="ImageCaption"/>
        <w:numPr>
          <w:ilvl w:val="0"/>
          <w:numId w:val="1"/>
        </w:numPr>
      </w:pPr>
    </w:p>
    <w:p w14:paraId="0FBF3A17" w14:textId="77777777" w:rsidR="002F6147" w:rsidRDefault="001D718F">
      <w:pPr>
        <w:pStyle w:val="FirstParagraph"/>
      </w:pPr>
      <w:r>
        <w:t>(b)</w:t>
      </w:r>
    </w:p>
    <w:p w14:paraId="362434E9" w14:textId="77777777" w:rsidR="002F6147" w:rsidRDefault="001D718F">
      <w:pPr>
        <w:pStyle w:val="a0"/>
      </w:pPr>
      <w:r>
        <w:t>The weights calculated by the spreedsheet is shown below.</w:t>
      </w:r>
    </w:p>
    <w:tbl>
      <w:tblPr>
        <w:tblStyle w:val="Table"/>
        <w:tblW w:w="0" w:type="pct"/>
        <w:tblLook w:val="0020" w:firstRow="1" w:lastRow="0" w:firstColumn="0" w:lastColumn="0" w:noHBand="0" w:noVBand="0"/>
      </w:tblPr>
      <w:tblGrid>
        <w:gridCol w:w="3148"/>
        <w:gridCol w:w="1011"/>
      </w:tblGrid>
      <w:tr w:rsidR="002F6147" w14:paraId="306F82DB" w14:textId="77777777">
        <w:tc>
          <w:tcPr>
            <w:tcW w:w="0" w:type="auto"/>
            <w:tcBorders>
              <w:bottom w:val="single" w:sz="0" w:space="0" w:color="auto"/>
            </w:tcBorders>
            <w:vAlign w:val="bottom"/>
          </w:tcPr>
          <w:p w14:paraId="260E9D19" w14:textId="77777777" w:rsidR="002F6147" w:rsidRDefault="001D718F">
            <w:pPr>
              <w:pStyle w:val="Compact"/>
            </w:pPr>
            <w:r>
              <w:t>Bond</w:t>
            </w:r>
          </w:p>
        </w:tc>
        <w:tc>
          <w:tcPr>
            <w:tcW w:w="0" w:type="auto"/>
            <w:tcBorders>
              <w:bottom w:val="single" w:sz="0" w:space="0" w:color="auto"/>
            </w:tcBorders>
            <w:vAlign w:val="bottom"/>
          </w:tcPr>
          <w:p w14:paraId="19AD8261" w14:textId="77777777" w:rsidR="002F6147" w:rsidRDefault="001D718F">
            <w:pPr>
              <w:pStyle w:val="Compact"/>
            </w:pPr>
            <w:r>
              <w:t>Weight</w:t>
            </w:r>
          </w:p>
        </w:tc>
      </w:tr>
      <w:tr w:rsidR="002F6147" w14:paraId="60394605" w14:textId="77777777">
        <w:tc>
          <w:tcPr>
            <w:tcW w:w="0" w:type="auto"/>
          </w:tcPr>
          <w:p w14:paraId="40FBC734" w14:textId="77777777" w:rsidR="002F6147" w:rsidRDefault="001D718F">
            <w:pPr>
              <w:pStyle w:val="Compact"/>
            </w:pPr>
            <w:r>
              <w:t>SB Non-US Bonds</w:t>
            </w:r>
          </w:p>
        </w:tc>
        <w:tc>
          <w:tcPr>
            <w:tcW w:w="0" w:type="auto"/>
          </w:tcPr>
          <w:p w14:paraId="1615DFD9" w14:textId="77777777" w:rsidR="002F6147" w:rsidRDefault="001D718F">
            <w:pPr>
              <w:pStyle w:val="Compact"/>
            </w:pPr>
            <w:r>
              <w:t>27.38%</w:t>
            </w:r>
          </w:p>
        </w:tc>
      </w:tr>
      <w:tr w:rsidR="002F6147" w14:paraId="5B5EE923" w14:textId="77777777">
        <w:tc>
          <w:tcPr>
            <w:tcW w:w="0" w:type="auto"/>
          </w:tcPr>
          <w:p w14:paraId="104024E1" w14:textId="77777777" w:rsidR="002F6147" w:rsidRDefault="001D718F">
            <w:pPr>
              <w:pStyle w:val="Compact"/>
            </w:pPr>
            <w:r>
              <w:t>MSCI EAFE</w:t>
            </w:r>
          </w:p>
        </w:tc>
        <w:tc>
          <w:tcPr>
            <w:tcW w:w="0" w:type="auto"/>
          </w:tcPr>
          <w:p w14:paraId="07D39745" w14:textId="77777777" w:rsidR="002F6147" w:rsidRDefault="001D718F">
            <w:pPr>
              <w:pStyle w:val="Compact"/>
            </w:pPr>
            <w:r>
              <w:t>-3.83%</w:t>
            </w:r>
          </w:p>
        </w:tc>
      </w:tr>
      <w:tr w:rsidR="002F6147" w14:paraId="163C590D" w14:textId="77777777">
        <w:tc>
          <w:tcPr>
            <w:tcW w:w="0" w:type="auto"/>
          </w:tcPr>
          <w:p w14:paraId="6322D0F5" w14:textId="77777777" w:rsidR="002F6147" w:rsidRDefault="001D718F">
            <w:pPr>
              <w:pStyle w:val="Compact"/>
            </w:pPr>
            <w:r>
              <w:t>CRSP VW US common stocks</w:t>
            </w:r>
          </w:p>
        </w:tc>
        <w:tc>
          <w:tcPr>
            <w:tcW w:w="0" w:type="auto"/>
          </w:tcPr>
          <w:p w14:paraId="49B740C3" w14:textId="77777777" w:rsidR="002F6147" w:rsidRDefault="001D718F">
            <w:pPr>
              <w:pStyle w:val="Compact"/>
            </w:pPr>
            <w:r>
              <w:t>14.87%</w:t>
            </w:r>
          </w:p>
        </w:tc>
      </w:tr>
      <w:tr w:rsidR="002F6147" w14:paraId="4BB36A3C" w14:textId="77777777">
        <w:tc>
          <w:tcPr>
            <w:tcW w:w="0" w:type="auto"/>
          </w:tcPr>
          <w:p w14:paraId="243103E4" w14:textId="77777777" w:rsidR="002F6147" w:rsidRDefault="001D718F">
            <w:pPr>
              <w:pStyle w:val="Compact"/>
            </w:pPr>
            <w:r>
              <w:t>US Corp Bonds</w:t>
            </w:r>
          </w:p>
        </w:tc>
        <w:tc>
          <w:tcPr>
            <w:tcW w:w="0" w:type="auto"/>
          </w:tcPr>
          <w:p w14:paraId="076F1633" w14:textId="77777777" w:rsidR="002F6147" w:rsidRDefault="001D718F">
            <w:pPr>
              <w:pStyle w:val="Compact"/>
            </w:pPr>
            <w:r>
              <w:t>61.58%</w:t>
            </w:r>
          </w:p>
        </w:tc>
      </w:tr>
    </w:tbl>
    <w:p w14:paraId="3CFF531E" w14:textId="77777777" w:rsidR="002F6147" w:rsidRDefault="001D718F">
      <w:pPr>
        <w:pStyle w:val="CaptionedFigure"/>
      </w:pPr>
      <w:r>
        <w:rPr>
          <w:noProof/>
        </w:rPr>
        <w:lastRenderedPageBreak/>
        <w:drawing>
          <wp:inline distT="0" distB="0" distL="0" distR="0" wp14:anchorId="11B81078" wp14:editId="5D5C9386">
            <wp:extent cx="4813300" cy="4267200"/>
            <wp:effectExtent l="0" t="0" r="0" b="0"/>
            <wp:docPr id="2" name="Picture" descr="image-20210212194451178"/>
            <wp:cNvGraphicFramePr/>
            <a:graphic xmlns:a="http://schemas.openxmlformats.org/drawingml/2006/main">
              <a:graphicData uri="http://schemas.openxmlformats.org/drawingml/2006/picture">
                <pic:pic xmlns:pic="http://schemas.openxmlformats.org/drawingml/2006/picture">
                  <pic:nvPicPr>
                    <pic:cNvPr id="0" name="Picture" descr="/Users/bytedance/Library/Application Support/typora-user-images/image-20210212194451178.png"/>
                    <pic:cNvPicPr>
                      <a:picLocks noChangeAspect="1" noChangeArrowheads="1"/>
                    </pic:cNvPicPr>
                  </pic:nvPicPr>
                  <pic:blipFill>
                    <a:blip r:embed="rId8"/>
                    <a:stretch>
                      <a:fillRect/>
                    </a:stretch>
                  </pic:blipFill>
                  <pic:spPr bwMode="auto">
                    <a:xfrm>
                      <a:off x="0" y="0"/>
                      <a:ext cx="4813300" cy="4267200"/>
                    </a:xfrm>
                    <a:prstGeom prst="rect">
                      <a:avLst/>
                    </a:prstGeom>
                    <a:noFill/>
                    <a:ln w="9525">
                      <a:noFill/>
                      <a:headEnd/>
                      <a:tailEnd/>
                    </a:ln>
                  </pic:spPr>
                </pic:pic>
              </a:graphicData>
            </a:graphic>
          </wp:inline>
        </w:drawing>
      </w:r>
    </w:p>
    <w:p w14:paraId="552E485E" w14:textId="77777777" w:rsidR="002F6147" w:rsidRDefault="001D718F">
      <w:pPr>
        <w:pStyle w:val="a0"/>
      </w:pPr>
      <w:r>
        <w:t>(c)</w:t>
      </w:r>
    </w:p>
    <w:p w14:paraId="6B9B1224" w14:textId="77777777" w:rsidR="002F6147" w:rsidRDefault="001D718F">
      <w:pPr>
        <w:pStyle w:val="a0"/>
      </w:pPr>
      <w:r>
        <w:t>I prefer the portfolio at the tangent point rather than the the MVP since the investor can have the largest utility at the tangent portfolio though it is more risky than the MVP. Based on the therom of economics, people make dec</w:t>
      </w:r>
      <w:r>
        <w:t>isions based how much utility they have and risk is less important so it would be better to select the tangent portfolio.</w:t>
      </w:r>
    </w:p>
    <w:p w14:paraId="3713E0AC" w14:textId="77777777" w:rsidR="002F6147" w:rsidRDefault="002F6147">
      <w:pPr>
        <w:pStyle w:val="a0"/>
      </w:pPr>
    </w:p>
    <w:sectPr w:rsidR="002F614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8958D" w14:textId="77777777" w:rsidR="001D718F" w:rsidRDefault="001D718F">
      <w:pPr>
        <w:spacing w:after="0"/>
      </w:pPr>
      <w:r>
        <w:separator/>
      </w:r>
    </w:p>
  </w:endnote>
  <w:endnote w:type="continuationSeparator" w:id="0">
    <w:p w14:paraId="44B4581B" w14:textId="77777777" w:rsidR="001D718F" w:rsidRDefault="001D71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4CE84" w14:textId="77777777" w:rsidR="001D718F" w:rsidRDefault="001D718F">
      <w:r>
        <w:separator/>
      </w:r>
    </w:p>
  </w:footnote>
  <w:footnote w:type="continuationSeparator" w:id="0">
    <w:p w14:paraId="66F8DD00" w14:textId="77777777" w:rsidR="001D718F" w:rsidRDefault="001D7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82E34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A2451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D718F"/>
    <w:rsid w:val="002F6147"/>
    <w:rsid w:val="004E29B3"/>
    <w:rsid w:val="00590D07"/>
    <w:rsid w:val="00784D58"/>
    <w:rsid w:val="008D6863"/>
    <w:rsid w:val="00931D8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25E92"/>
  <w15:docId w15:val="{8C34B4E4-405B-984F-B758-01DC117F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Zhaoyang Chen</cp:lastModifiedBy>
  <cp:revision>2</cp:revision>
  <dcterms:created xsi:type="dcterms:W3CDTF">2021-02-12T11:58:00Z</dcterms:created>
  <dcterms:modified xsi:type="dcterms:W3CDTF">2021-02-12T11:59:00Z</dcterms:modified>
</cp:coreProperties>
</file>