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3ypddhc98b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Nombres: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Vicente Lemp Sarmiento (21.742.965-K)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sz w:val="26"/>
          <w:szCs w:val="26"/>
          <w:rtl w:val="0"/>
        </w:rPr>
        <w:t xml:space="preserve">Joaquin Inostroza (21.686.690-8)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js0hmx2gp0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NRC:8277</w:t>
        <w:br w:type="textWrapping"/>
        <w:t xml:space="preserve">Sección: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???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xvzjs29le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resume el diseño e implementación de una aplicación Java tipo escritorio que permite evaluar a estudiantes con preguntas clasificadas según la “Taxonomía de Bloom”. El objetivo fue crear una herramienta sencilla para cargar, presentar, revisar y analizar ítems educativos desde un archivo externo (archivo de texto - .txt).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ydao22tsw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 la Solución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se desarrolló en Java con Swing. Se diseñó una arquitectura modular que separa datos, lógica y vista: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Representa una pregunta con enunciado, opciones, respuesta correcta, nivel de Bloom y tipo de ítem (el programa sólo soporta preguntas de verdadero/falso y opción múltiple, aunque se puede actualizar para que soporta más tipos de pregunta).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Controlador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QuizManager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Gestiona el flujo de preguntas, navegación, respuestas del usuario y cálculos.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FileLoader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Lee archivos de texto delimitado para poblar los ítems.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MainWindow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QuizPanel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ReviewPanel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SummaryPanel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Manejan toda la interacción del usuario desde carga de archivo hasta la revisión de resultados.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ea4mz7lno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Cumplimos </w:t>
      </w:r>
      <w:r w:rsidDel="00000000" w:rsidR="00000000" w:rsidRPr="00000000">
        <w:rPr>
          <w:rtl w:val="0"/>
        </w:rPr>
        <w:t xml:space="preserve">el objetivo, una app totalmente funcional para realizar pruebas con retroalimentación basada en Bloom. Como mejora futura se podría integrar la posibilidad de más tipos de preguntas.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