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Setup, Variabile, Tipuri de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În cadrul unui comentariu, explică cu cuvintele tale ce este o variabilă.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Declară și initializează câte o variabilă din fiecare din următoarele tipuri de variabilă: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Observație: Valorile vor fi alese de tine după preferințe.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Utilizează funcția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type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pentru a verifica dacă au tipul de date așteptat.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Rotunjește ‘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float’-u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 folosind funcția </w:t>
      </w:r>
      <w:r w:rsidDel="00000000" w:rsidR="00000000" w:rsidRPr="00000000">
        <w:rPr>
          <w:rFonts w:ascii="Avenir" w:cs="Avenir" w:eastAsia="Avenir" w:hAnsi="Avenir"/>
          <w:sz w:val="28"/>
          <w:szCs w:val="28"/>
          <w:u w:val="single"/>
          <w:rtl w:val="0"/>
        </w:rPr>
        <w:t xml:space="preserve">round()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și salvează această modificare în aceeași variabilă (suprascriere):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tipul acesteia.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Folosește </w:t>
      </w:r>
      <w:r w:rsidDel="00000000" w:rsidR="00000000" w:rsidRPr="00000000">
        <w:rPr>
          <w:rFonts w:ascii="Avenir" w:cs="Avenir" w:eastAsia="Avenir" w:hAnsi="Avenir"/>
          <w:sz w:val="28"/>
          <w:szCs w:val="28"/>
          <w:u w:val="single"/>
          <w:rtl w:val="0"/>
        </w:rPr>
        <w:t xml:space="preserve">print()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printează în consolă 4 propoziții folosind cele 4 variabile.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Rezolvă nepotrivirile de tip prin ce modalitate dorești.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Citește de la tastatură: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prenumele.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'Numele complet are x caractere'.</w:t>
      </w:r>
    </w:p>
    <w:p w:rsidR="00000000" w:rsidDel="00000000" w:rsidP="00000000" w:rsidRDefault="00000000" w:rsidRPr="00000000" w14:paraId="00000018">
      <w:pPr>
        <w:ind w:left="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7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a8SGOCYW//mxGVsIo+U6WY6PxA==">CgMxLjA4AHIhMW1wdFowMzZIQldtZXJjcl9MN01pVmtPZi15TGl0N3Ff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