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Consultancy Assessment Report</w:t>
      </w:r>
    </w:p>
    <w:p>
      <w:pPr>
        <w:pStyle w:val="Heading1"/>
      </w:pPr>
      <w:r>
        <w:t>Methodology and Assumptions</w:t>
      </w:r>
    </w:p>
    <w:p>
      <w:r>
        <w:t>The consultancy assessment was conducted through a structured data pipeline designed to process, clean, merge, analyze, and visualize global health indicators, specifically related to Under-5 Mortality Rate (U5MR) status and population data. Below is a breakdown of the methodology followed, along with key assumptions and caveats:</w:t>
      </w:r>
    </w:p>
    <w:p>
      <w:r>
        <w:t>- **Data Loading:** Three key datasets were used:</w:t>
        <w:br/>
        <w:t xml:space="preserve">  - U5MR status classification (on-track/off-track).</w:t>
        <w:br/>
        <w:t xml:space="preserve">  - World population prospects including birth projections.</w:t>
        <w:br/>
        <w:t xml:space="preserve">  - Global indicator estimates from the global data flow.</w:t>
        <w:br/>
        <w:t xml:space="preserve">  These files are expected to follow specific structural conventions, which are implicitly assumed during parsing.</w:t>
      </w:r>
    </w:p>
    <w:p>
      <w:r>
        <w:t>- **Data Cleaning:**</w:t>
        <w:br/>
        <w:t xml:space="preserve">  - U5MR status labels were standardized (e.g., 'achieved', 'on track') and grouped under unified labels ('On-track' or 'Off-track').</w:t>
        <w:br/>
        <w:t xml:space="preserve">  - The global data flow required reformatting due to inconsistent headers and missing data entries. Rows with incomplete 'Geographic area' or 'Indicator' values were removed.</w:t>
        <w:br/>
        <w:t xml:space="preserve">  - Yearly data columns (e.g., 2022, 2021, etc.) were converted to numeric, treating '-' as missing (NaN).</w:t>
      </w:r>
    </w:p>
    <w:p>
      <w:r>
        <w:t>- **Assumptions Made:**</w:t>
        <w:br/>
        <w:t xml:space="preserve">  - The most recent available estimate across years (2022–2018) is a valid proxy for current coverage.</w:t>
        <w:br/>
        <w:t xml:space="preserve">  - Population weight was based solely on the number of projected births, assuming it's a valid proxy for health service need.</w:t>
        <w:br/>
        <w:t xml:space="preserve">  - Country matching across datasets was assumed to be reliable using ISO3 codes and country names (e.g., 'ISO3Code' vs. 'OfficialName').</w:t>
      </w:r>
    </w:p>
    <w:p>
      <w:r>
        <w:t>- **Merging Datasets:**</w:t>
        <w:br/>
        <w:t xml:space="preserve">  - Datasets were merged on country codes and names. Any mismatch or missing alignment (e.g., differing spellings) may lead to data loss.</w:t>
      </w:r>
    </w:p>
    <w:p>
      <w:r>
        <w:t>- **Analysis and Visualization:**</w:t>
        <w:br/>
        <w:t xml:space="preserve">  - A population-weighted average coverage was computed for each combination of U5MR status and indicator.</w:t>
        <w:br/>
        <w:t xml:space="preserve">  - Visualization was done using a seaborn barplot with color-coded indicators and status categories.</w:t>
      </w:r>
    </w:p>
    <w:p>
      <w:r>
        <w:drawing>
          <wp:inline xmlns:a="http://schemas.openxmlformats.org/drawingml/2006/main" xmlns:pic="http://schemas.openxmlformats.org/drawingml/2006/picture">
            <wp:extent cx="5486400" cy="3200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pulation_weighted_cover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Results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Status.U5MR</w:t>
            </w:r>
          </w:p>
        </w:tc>
        <w:tc>
          <w:tcPr>
            <w:tcW w:type="dxa" w:w="2880"/>
          </w:tcPr>
          <w:p>
            <w:r>
              <w:t>Indicator</w:t>
            </w:r>
          </w:p>
        </w:tc>
        <w:tc>
          <w:tcPr>
            <w:tcW w:type="dxa" w:w="2880"/>
          </w:tcPr>
          <w:p>
            <w:r>
              <w:t>PopulationWeightedCoverage</w:t>
            </w:r>
          </w:p>
        </w:tc>
      </w:tr>
      <w:tr>
        <w:tc>
          <w:tcPr>
            <w:tcW w:type="dxa" w:w="2880"/>
          </w:tcPr>
          <w:p>
            <w:r>
              <w:t>Off-track</w:t>
            </w:r>
          </w:p>
        </w:tc>
        <w:tc>
          <w:tcPr>
            <w:tcW w:type="dxa" w:w="2880"/>
          </w:tcPr>
          <w:p>
            <w:r>
              <w:t>Antenatal care 4+ visits - percentage of women (aged 15-49 years) attended at least four times during pregnancy by any provider</w:t>
            </w:r>
          </w:p>
        </w:tc>
        <w:tc>
          <w:tcPr>
            <w:tcW w:type="dxa" w:w="2880"/>
          </w:tcPr>
          <w:p>
            <w:r>
              <w:t>56.52</w:t>
            </w:r>
          </w:p>
        </w:tc>
      </w:tr>
      <w:tr>
        <w:tc>
          <w:tcPr>
            <w:tcW w:type="dxa" w:w="2880"/>
          </w:tcPr>
          <w:p>
            <w:r>
              <w:t>Off-track</w:t>
            </w:r>
          </w:p>
        </w:tc>
        <w:tc>
          <w:tcPr>
            <w:tcW w:type="dxa" w:w="2880"/>
          </w:tcPr>
          <w:p>
            <w:r>
              <w:t>Skilled birth attendant - percentage of deliveries attended by skilled health personnel</w:t>
            </w:r>
          </w:p>
        </w:tc>
        <w:tc>
          <w:tcPr>
            <w:tcW w:type="dxa" w:w="2880"/>
          </w:tcPr>
          <w:p>
            <w:r>
              <w:t>69.38</w:t>
            </w:r>
          </w:p>
        </w:tc>
      </w:tr>
      <w:tr>
        <w:tc>
          <w:tcPr>
            <w:tcW w:type="dxa" w:w="2880"/>
          </w:tcPr>
          <w:p>
            <w:r>
              <w:t>On-track</w:t>
            </w:r>
          </w:p>
        </w:tc>
        <w:tc>
          <w:tcPr>
            <w:tcW w:type="dxa" w:w="2880"/>
          </w:tcPr>
          <w:p>
            <w:r>
              <w:t>Antenatal care 4+ visits - percentage of women (aged 15-49 years) attended at least four times during pregnancy by any provider</w:t>
            </w:r>
          </w:p>
        </w:tc>
        <w:tc>
          <w:tcPr>
            <w:tcW w:type="dxa" w:w="2880"/>
          </w:tcPr>
          <w:p>
            <w:r>
              <w:t>75.92</w:t>
            </w:r>
          </w:p>
        </w:tc>
      </w:tr>
      <w:tr>
        <w:tc>
          <w:tcPr>
            <w:tcW w:type="dxa" w:w="2880"/>
          </w:tcPr>
          <w:p>
            <w:r>
              <w:t>On-track</w:t>
            </w:r>
          </w:p>
        </w:tc>
        <w:tc>
          <w:tcPr>
            <w:tcW w:type="dxa" w:w="2880"/>
          </w:tcPr>
          <w:p>
            <w:r>
              <w:t>Skilled birth attendant - percentage of deliveries attended by skilled health personnel</w:t>
            </w:r>
          </w:p>
        </w:tc>
        <w:tc>
          <w:tcPr>
            <w:tcW w:type="dxa" w:w="2880"/>
          </w:tcPr>
          <w:p>
            <w:r>
              <w:t>92.72</w:t>
            </w:r>
          </w:p>
        </w:tc>
      </w:tr>
    </w:tbl>
    <w:p>
      <w:r>
        <w:t>The data indicates a clear improvement in maternal healthcare coverage from the off-track to on-track status. Specifically, the percentage of women receiving at least four antenatal care visits increased from 56.52% to 75.92%, while the proportion of deliveries attended by skilled health personnel rose from 69.38% to 92.72%. These improvements suggest significant progress in access to and utilization of essential maternal health services, which are critical for reducing maternal and newborn mortality rates.</w:t>
      </w:r>
    </w:p>
    <w:p>
      <w:r>
        <w:t>Position I applied for: Household Survey Data Analyst Consultant - Req. #581656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