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556D3" w14:textId="516E29F6" w:rsidR="00FA7CDF" w:rsidRPr="00DE7522"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sidRPr="00DE7522">
        <w:rPr>
          <w:rFonts w:ascii="Garamond" w:eastAsiaTheme="minorHAnsi" w:hAnsi="Garamond" w:cstheme="minorBidi"/>
          <w:b/>
          <w:bCs/>
          <w:color w:val="auto"/>
          <w:kern w:val="2"/>
          <w:sz w:val="28"/>
          <w:szCs w:val="28"/>
          <w14:ligatures w14:val="standardContextual"/>
        </w:rPr>
        <w:t>Social Sustainability</w:t>
      </w:r>
      <w:r w:rsidR="00FA7CDF" w:rsidRPr="00DE7522">
        <w:rPr>
          <w:rFonts w:ascii="Garamond" w:eastAsiaTheme="minorHAnsi" w:hAnsi="Garamond" w:cstheme="minorBidi"/>
          <w:b/>
          <w:bCs/>
          <w:color w:val="auto"/>
          <w:kern w:val="2"/>
          <w:sz w:val="28"/>
          <w:szCs w:val="28"/>
          <w14:ligatures w14:val="standardContextual"/>
        </w:rPr>
        <w:t xml:space="preserve"> Global Data</w:t>
      </w:r>
      <w:r w:rsidR="00DE7522" w:rsidRPr="00DE7522">
        <w:rPr>
          <w:rFonts w:ascii="Garamond" w:eastAsiaTheme="minorHAnsi" w:hAnsi="Garamond" w:cstheme="minorBidi"/>
          <w:b/>
          <w:bCs/>
          <w:color w:val="auto"/>
          <w:kern w:val="2"/>
          <w:sz w:val="28"/>
          <w:szCs w:val="28"/>
          <w14:ligatures w14:val="standardContextual"/>
        </w:rPr>
        <w:t>b</w:t>
      </w:r>
      <w:r w:rsidR="00FA7CDF" w:rsidRPr="00DE7522">
        <w:rPr>
          <w:rFonts w:ascii="Garamond" w:eastAsiaTheme="minorHAnsi" w:hAnsi="Garamond" w:cstheme="minorBidi"/>
          <w:b/>
          <w:bCs/>
          <w:color w:val="auto"/>
          <w:kern w:val="2"/>
          <w:sz w:val="28"/>
          <w:szCs w:val="28"/>
          <w14:ligatures w14:val="standardContextual"/>
        </w:rPr>
        <w:t>ase 2.0</w:t>
      </w:r>
      <w:r w:rsidR="00DE7522" w:rsidRPr="00DE7522">
        <w:rPr>
          <w:rFonts w:ascii="Garamond" w:eastAsiaTheme="minorHAnsi" w:hAnsi="Garamond" w:cstheme="minorBidi"/>
          <w:b/>
          <w:bCs/>
          <w:color w:val="auto"/>
          <w:kern w:val="2"/>
          <w:sz w:val="28"/>
          <w:szCs w:val="28"/>
          <w14:ligatures w14:val="standardContextual"/>
        </w:rPr>
        <w:t>: A leap for</w:t>
      </w:r>
      <w:r w:rsidR="00DE7522">
        <w:rPr>
          <w:rFonts w:ascii="Garamond" w:eastAsiaTheme="minorHAnsi" w:hAnsi="Garamond" w:cstheme="minorBidi"/>
          <w:b/>
          <w:bCs/>
          <w:color w:val="auto"/>
          <w:kern w:val="2"/>
          <w:sz w:val="28"/>
          <w:szCs w:val="28"/>
          <w14:ligatures w14:val="standardContextual"/>
        </w:rPr>
        <w:t>ward in data disaggregation</w:t>
      </w:r>
    </w:p>
    <w:p w14:paraId="29D30271" w14:textId="77777777" w:rsidR="00F048CA" w:rsidRPr="00DE7522"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9F0ECC3" w:rsidR="00F048CA" w:rsidRPr="00F048CA" w:rsidRDefault="00CB51BB" w:rsidP="00F048CA">
      <w:pPr>
        <w:jc w:val="center"/>
        <w:rPr>
          <w:rFonts w:ascii="Garamond" w:hAnsi="Garamond"/>
          <w:sz w:val="24"/>
          <w:szCs w:val="24"/>
        </w:rPr>
      </w:pPr>
      <w:r>
        <w:rPr>
          <w:rFonts w:ascii="Garamond" w:hAnsi="Garamond"/>
          <w:sz w:val="24"/>
          <w:szCs w:val="24"/>
        </w:rPr>
        <w:t>April</w:t>
      </w:r>
      <w:r w:rsidR="00F048CA" w:rsidRPr="00F048CA">
        <w:rPr>
          <w:rFonts w:ascii="Garamond" w:hAnsi="Garamond"/>
          <w:sz w:val="24"/>
          <w:szCs w:val="24"/>
        </w:rPr>
        <w:t xml:space="preserve"> 202</w:t>
      </w:r>
      <w:r>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466F21BF" w:rsidR="00970A5F" w:rsidRPr="00970A5F" w:rsidRDefault="00A70FF5" w:rsidP="00970A5F">
      <w:pPr>
        <w:pStyle w:val="ListParagraph"/>
        <w:numPr>
          <w:ilvl w:val="1"/>
          <w:numId w:val="3"/>
        </w:numPr>
        <w:spacing w:line="360" w:lineRule="auto"/>
        <w:jc w:val="both"/>
        <w:outlineLvl w:val="1"/>
        <w:rPr>
          <w:rFonts w:ascii="Garamond" w:hAnsi="Garamond" w:cs="Times New Roman"/>
          <w:b/>
          <w:bCs/>
        </w:rPr>
      </w:pPr>
      <w:bookmarkStart w:id="2" w:name="_Toc163821654"/>
      <w:r>
        <w:rPr>
          <w:rFonts w:ascii="Garamond" w:hAnsi="Garamond" w:cs="Times New Roman"/>
          <w:b/>
          <w:bCs/>
        </w:rPr>
        <w:lastRenderedPageBreak/>
        <w:t xml:space="preserve">Why </w:t>
      </w:r>
      <w:r w:rsidR="008E4316">
        <w:rPr>
          <w:rFonts w:ascii="Garamond" w:hAnsi="Garamond" w:cs="Times New Roman"/>
          <w:b/>
          <w:bCs/>
        </w:rPr>
        <w:t xml:space="preserve">does </w:t>
      </w:r>
      <w:r w:rsidR="00535972">
        <w:rPr>
          <w:rFonts w:ascii="Garamond" w:hAnsi="Garamond" w:cs="Times New Roman"/>
          <w:b/>
          <w:bCs/>
        </w:rPr>
        <w:t>Social Sustainability</w:t>
      </w:r>
      <w:bookmarkEnd w:id="2"/>
      <w:r>
        <w:rPr>
          <w:rFonts w:ascii="Garamond" w:hAnsi="Garamond" w:cs="Times New Roman"/>
          <w:b/>
          <w:bCs/>
        </w:rPr>
        <w:t xml:space="preserve"> matter?</w:t>
      </w:r>
    </w:p>
    <w:p w14:paraId="2ED2473E" w14:textId="4CC5C502"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is instrumental to achiev</w:t>
      </w:r>
      <w:r w:rsidR="008E4316">
        <w:rPr>
          <w:rFonts w:ascii="Garamond" w:hAnsi="Garamond" w:cs="Times New Roman"/>
          <w:b/>
          <w:bCs/>
        </w:rPr>
        <w:t>ing</w:t>
      </w:r>
      <w:r w:rsidRPr="00640193">
        <w:rPr>
          <w:rFonts w:ascii="Garamond" w:hAnsi="Garamond" w:cs="Times New Roman"/>
          <w:b/>
          <w:bCs/>
        </w:rPr>
        <w:t xml:space="preserve"> and maintain</w:t>
      </w:r>
      <w:r w:rsidR="008E4316">
        <w:rPr>
          <w:rFonts w:ascii="Garamond" w:hAnsi="Garamond" w:cs="Times New Roman"/>
          <w:b/>
          <w:bCs/>
        </w:rPr>
        <w:t>ing</w:t>
      </w:r>
      <w:r w:rsidRPr="00640193">
        <w:rPr>
          <w:rFonts w:ascii="Garamond" w:hAnsi="Garamond" w:cs="Times New Roman"/>
          <w:b/>
          <w:bCs/>
        </w:rPr>
        <w:t xml:space="preserve"> growth, poverty reduction</w:t>
      </w:r>
      <w:r w:rsidR="008E4316">
        <w:rPr>
          <w:rFonts w:ascii="Garamond" w:hAnsi="Garamond" w:cs="Times New Roman"/>
          <w:b/>
          <w:bCs/>
        </w:rPr>
        <w:t>,</w:t>
      </w:r>
      <w:r w:rsidRPr="00640193">
        <w:rPr>
          <w:rFonts w:ascii="Garamond" w:hAnsi="Garamond" w:cs="Times New Roman"/>
          <w:b/>
          <w:bCs/>
        </w:rPr>
        <w:t xml:space="preserve"> and combatting climate change.</w:t>
      </w:r>
      <w:r>
        <w:rPr>
          <w:rFonts w:ascii="Garamond" w:hAnsi="Garamond" w:cs="Times New Roman"/>
        </w:rPr>
        <w:t xml:space="preserve"> </w:t>
      </w:r>
      <w:r w:rsidRPr="00640193">
        <w:rPr>
          <w:rFonts w:ascii="Garamond" w:hAnsi="Garamond" w:cs="Times New Roman"/>
        </w:rPr>
        <w:t xml:space="preserve">Global challenges such as climate change and conflict pose unique threats to development. Ending extreme poverty and promoting shared prosperity on a </w:t>
      </w:r>
      <w:r>
        <w:rPr>
          <w:rFonts w:ascii="Garamond" w:hAnsi="Garamond" w:cs="Times New Roman"/>
        </w:rPr>
        <w:t>livable</w:t>
      </w:r>
      <w:r w:rsidRPr="00640193">
        <w:rPr>
          <w:rFonts w:ascii="Garamond" w:hAnsi="Garamond" w:cs="Times New Roman"/>
        </w:rPr>
        <w:t xml:space="preserve"> planet requires more than just traditional growth and redistribution; social sustainability is essential for building inclusive and resilient societies. In such societies, people can cooperate, respond effectively to crises, access essential services and markets for a decent and prosperous life, and participate in decisions impacting them and future generations. Societies with poor social sustainability face vulnerabilities that undermine their social contract, exhibit low trust in people and institutions, lack resilience and opportunities, and suffer from inadequate social and governmental accountability. These weaknesses lead to compounded exclusion, particularly affecting vulnerable groups. This perspective is central to the </w:t>
      </w:r>
      <w:r w:rsidR="00F62D75">
        <w:rPr>
          <w:rFonts w:ascii="Garamond" w:hAnsi="Garamond" w:cs="Times New Roman"/>
        </w:rPr>
        <w:t>WBG</w:t>
      </w:r>
      <w:r w:rsidR="008E4316">
        <w:rPr>
          <w:rFonts w:ascii="Garamond" w:hAnsi="Garamond" w:cs="Times New Roman"/>
        </w:rPr>
        <w:t>'s</w:t>
      </w:r>
      <w:r w:rsidRPr="00640193">
        <w:rPr>
          <w:rFonts w:ascii="Garamond" w:hAnsi="Garamond" w:cs="Times New Roman"/>
        </w:rPr>
        <w:t xml:space="preserve"> renewed mission to end poverty and enhance shared prosperity on a </w:t>
      </w:r>
      <w:r>
        <w:rPr>
          <w:rFonts w:ascii="Garamond" w:hAnsi="Garamond" w:cs="Times New Roman"/>
        </w:rPr>
        <w:t>livable</w:t>
      </w:r>
      <w:r w:rsidRPr="00640193">
        <w:rPr>
          <w:rFonts w:ascii="Garamond" w:hAnsi="Garamond" w:cs="Times New Roman"/>
        </w:rPr>
        <w:t xml:space="preserve"> planet</w:t>
      </w:r>
      <w:r w:rsidR="00F62D75">
        <w:rPr>
          <w:rFonts w:ascii="Garamond" w:hAnsi="Garamond" w:cs="Times New Roman"/>
        </w:rPr>
        <w:t>.</w:t>
      </w:r>
      <w:r w:rsidRPr="00640193">
        <w:rPr>
          <w:rFonts w:ascii="Garamond" w:hAnsi="Garamond" w:cs="Times New Roman"/>
        </w:rPr>
        <w:t xml:space="preserve"> </w:t>
      </w:r>
      <w:r w:rsidR="00F62D75">
        <w:rPr>
          <w:rFonts w:ascii="Garamond" w:hAnsi="Garamond" w:cs="Times New Roman"/>
        </w:rPr>
        <w:t>R</w:t>
      </w:r>
      <w:r w:rsidRPr="00640193">
        <w:rPr>
          <w:rFonts w:ascii="Garamond" w:hAnsi="Garamond" w:cs="Times New Roman"/>
        </w:rPr>
        <w:t>ecognizing the importance of economic growth, resilience, cohesion, and inclusion as key to ongoing poverty alleviation</w:t>
      </w:r>
      <w:r w:rsidR="00F62D75">
        <w:rPr>
          <w:rFonts w:ascii="Garamond" w:hAnsi="Garamond" w:cs="Times New Roman"/>
        </w:rPr>
        <w:t xml:space="preserve">, this approach is captured in the </w:t>
      </w:r>
      <w:hyperlink r:id="rId9" w:history="1">
        <w:r w:rsidR="00F62D75" w:rsidRPr="00F62D75">
          <w:rPr>
            <w:rStyle w:val="Hyperlink"/>
            <w:rFonts w:ascii="Garamond" w:hAnsi="Garamond" w:cs="Times New Roman"/>
          </w:rPr>
          <w:t>New WBG Scorecard FY24-FY30</w:t>
        </w:r>
      </w:hyperlink>
      <w:r w:rsidRPr="00640193">
        <w:rPr>
          <w:rFonts w:ascii="Garamond" w:hAnsi="Garamond" w:cs="Times New Roman"/>
        </w:rPr>
        <w:t>.</w:t>
      </w:r>
    </w:p>
    <w:p w14:paraId="2F2F7AA3" w14:textId="33B65146"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provides a comprehensive lens to better understand how to bring about broad-based inclusive growth.</w:t>
      </w:r>
      <w:r w:rsidRPr="00640193">
        <w:rPr>
          <w:rFonts w:ascii="Garamond" w:hAnsi="Garamond" w:cs="Times New Roman"/>
        </w:rPr>
        <w:t xml:space="preserve"> </w:t>
      </w:r>
      <w:r w:rsidR="00F62D75" w:rsidRPr="00F62D75">
        <w:rPr>
          <w:rFonts w:ascii="Garamond" w:hAnsi="Garamond" w:cs="Times New Roman"/>
        </w:rPr>
        <w:t>Inclusive growth is not just about reducing monetary poverty or income inequality; it must concentrate on enhancing access for those traditionally marginalized from economic and social opportunities, encompassing more than just their income, consumption, and wealth</w:t>
      </w:r>
      <w:r w:rsidR="00F62D75">
        <w:rPr>
          <w:rFonts w:ascii="Garamond" w:hAnsi="Garamond" w:cs="Times New Roman"/>
        </w:rPr>
        <w:t xml:space="preserve">. </w:t>
      </w:r>
      <w:r w:rsidR="00F62D75" w:rsidRPr="00F62D75">
        <w:rPr>
          <w:rFonts w:ascii="Garamond" w:hAnsi="Garamond" w:cs="Times New Roman"/>
        </w:rPr>
        <w:t>Exclusion can be based on gender, disability, age, sexual orientation, ethnicity, or race.</w:t>
      </w:r>
      <w:r w:rsidR="00F62D75">
        <w:rPr>
          <w:rFonts w:ascii="Garamond" w:hAnsi="Garamond" w:cs="Times New Roman"/>
        </w:rPr>
        <w:t xml:space="preserve"> </w:t>
      </w:r>
      <w:r w:rsidR="00EE0BE4" w:rsidRPr="00EE0BE4">
        <w:rPr>
          <w:rFonts w:ascii="Garamond" w:hAnsi="Garamond" w:cs="Times New Roman"/>
        </w:rPr>
        <w:t xml:space="preserve">Social sustainability </w:t>
      </w:r>
      <w:r w:rsidR="00EE0BE4">
        <w:rPr>
          <w:rFonts w:ascii="Garamond" w:hAnsi="Garamond" w:cs="Times New Roman"/>
        </w:rPr>
        <w:t>underscores</w:t>
      </w:r>
      <w:r w:rsidR="00EE0BE4" w:rsidRPr="00EE0BE4">
        <w:rPr>
          <w:rFonts w:ascii="Garamond" w:hAnsi="Garamond" w:cs="Times New Roman"/>
        </w:rPr>
        <w:t xml:space="preserve"> the ability, agency, and dignity</w:t>
      </w:r>
      <w:r w:rsidR="00EE0BE4">
        <w:rPr>
          <w:rFonts w:ascii="Garamond" w:hAnsi="Garamond" w:cs="Times New Roman"/>
        </w:rPr>
        <w:t xml:space="preserve"> of people</w:t>
      </w:r>
      <w:r w:rsidR="00EE0BE4" w:rsidRPr="00EE0BE4">
        <w:rPr>
          <w:rFonts w:ascii="Garamond" w:hAnsi="Garamond" w:cs="Times New Roman"/>
        </w:rPr>
        <w:t xml:space="preserve"> to access markets, services, and spaces. It also fosters a sense of shared purpose and trust, enabling them to handle shocks over time, within a society that recognizes the legitimacy of policies and programs enacted by those in authority.</w:t>
      </w:r>
    </w:p>
    <w:p w14:paraId="59E7A385" w14:textId="2A5C83C9" w:rsidR="007950E0" w:rsidRPr="00535972" w:rsidRDefault="00D6369B" w:rsidP="004E50B9">
      <w:pPr>
        <w:pStyle w:val="ListParagraph"/>
        <w:numPr>
          <w:ilvl w:val="1"/>
          <w:numId w:val="3"/>
        </w:numPr>
        <w:outlineLvl w:val="1"/>
        <w:rPr>
          <w:rFonts w:ascii="Garamond" w:hAnsi="Garamond" w:cs="Times New Roman"/>
          <w:b/>
          <w:bCs/>
        </w:rPr>
      </w:pPr>
      <w:bookmarkStart w:id="3" w:name="_Toc163821655"/>
      <w:r>
        <w:rPr>
          <w:rFonts w:ascii="Garamond" w:hAnsi="Garamond" w:cs="Times New Roman"/>
          <w:b/>
          <w:bCs/>
        </w:rPr>
        <w:t xml:space="preserve">Gaps of </w:t>
      </w:r>
      <w:r w:rsidR="008E4316">
        <w:rPr>
          <w:rFonts w:ascii="Garamond" w:hAnsi="Garamond" w:cs="Times New Roman"/>
          <w:b/>
          <w:bCs/>
        </w:rPr>
        <w:t>Disaggregated D</w:t>
      </w:r>
      <w:r>
        <w:rPr>
          <w:rFonts w:ascii="Garamond" w:hAnsi="Garamond" w:cs="Times New Roman"/>
          <w:b/>
          <w:bCs/>
        </w:rPr>
        <w:t xml:space="preserve">ata in </w:t>
      </w:r>
      <w:r w:rsidR="00535972">
        <w:rPr>
          <w:rFonts w:ascii="Garamond" w:hAnsi="Garamond" w:cs="Times New Roman"/>
          <w:b/>
          <w:bCs/>
        </w:rPr>
        <w:t>Social Sustainability</w:t>
      </w:r>
      <w:bookmarkEnd w:id="3"/>
    </w:p>
    <w:p w14:paraId="135CDCE1" w14:textId="20152FE2" w:rsidR="00EE0BE4" w:rsidRDefault="00EE0BE4" w:rsidP="00535972">
      <w:pPr>
        <w:spacing w:line="360" w:lineRule="auto"/>
        <w:jc w:val="both"/>
        <w:rPr>
          <w:rFonts w:ascii="Garamond" w:hAnsi="Garamond" w:cs="Times New Roman"/>
        </w:rPr>
      </w:pPr>
      <w:r w:rsidRPr="00EE0BE4">
        <w:rPr>
          <w:rFonts w:ascii="Garamond" w:hAnsi="Garamond" w:cs="Times New Roman"/>
          <w:b/>
          <w:bCs/>
        </w:rPr>
        <w:t>While the attention to social sustainability and its connections with growth, poverty reduction</w:t>
      </w:r>
      <w:r w:rsidR="008E4316">
        <w:rPr>
          <w:rFonts w:ascii="Garamond" w:hAnsi="Garamond" w:cs="Times New Roman"/>
          <w:b/>
          <w:bCs/>
        </w:rPr>
        <w:t>,</w:t>
      </w:r>
      <w:r w:rsidRPr="00EE0BE4">
        <w:rPr>
          <w:rFonts w:ascii="Garamond" w:hAnsi="Garamond" w:cs="Times New Roman"/>
          <w:b/>
          <w:bCs/>
        </w:rPr>
        <w:t xml:space="preserve"> and climate change is increasing, its evidence base needs to </w:t>
      </w:r>
      <w:r w:rsidR="008E4316">
        <w:rPr>
          <w:rFonts w:ascii="Garamond" w:hAnsi="Garamond" w:cs="Times New Roman"/>
          <w:b/>
          <w:bCs/>
        </w:rPr>
        <w:t xml:space="preserve">be </w:t>
      </w:r>
      <w:r w:rsidRPr="00EE0BE4">
        <w:rPr>
          <w:rFonts w:ascii="Garamond" w:hAnsi="Garamond" w:cs="Times New Roman"/>
          <w:b/>
          <w:bCs/>
        </w:rPr>
        <w:t>further improve</w:t>
      </w:r>
      <w:r w:rsidR="008E4316">
        <w:rPr>
          <w:rFonts w:ascii="Garamond" w:hAnsi="Garamond" w:cs="Times New Roman"/>
          <w:b/>
          <w:bCs/>
        </w:rPr>
        <w:t>d</w:t>
      </w:r>
      <w:r>
        <w:rPr>
          <w:rFonts w:ascii="Garamond" w:hAnsi="Garamond" w:cs="Times New Roman"/>
        </w:rPr>
        <w:t xml:space="preserve">. </w:t>
      </w:r>
      <w:r w:rsidRPr="00EE0BE4">
        <w:rPr>
          <w:rFonts w:ascii="Garamond" w:hAnsi="Garamond" w:cs="Times New Roman"/>
        </w:rPr>
        <w:t xml:space="preserve">The World Bank has over 80 data platforms, 31 of which report social data, totaling around 1,500 social indicators. These include both Bank-collected and external data. While the number of platforms is notable, they are not well integrated or harmonized, either within the Bank or externally. This lack of integration is relevant as poverty and weak social sustainability </w:t>
      </w:r>
      <w:r w:rsidR="008E4316">
        <w:rPr>
          <w:rFonts w:ascii="Garamond" w:hAnsi="Garamond" w:cs="Times New Roman"/>
        </w:rPr>
        <w:t>is</w:t>
      </w:r>
      <w:r w:rsidRPr="00EE0BE4">
        <w:rPr>
          <w:rFonts w:ascii="Garamond" w:hAnsi="Garamond" w:cs="Times New Roman"/>
        </w:rPr>
        <w:t xml:space="preserve"> closely related but not systematically linked in the Bank's data. For instance, global poverty estimates suggest about 685 million people were living in monetary poverty in 2022, according to </w:t>
      </w:r>
      <w:r w:rsidR="00B76D6D">
        <w:rPr>
          <w:rFonts w:ascii="Garamond" w:hAnsi="Garamond" w:cs="Times New Roman"/>
        </w:rPr>
        <w:t>WBG estimates</w:t>
      </w:r>
      <w:r w:rsidRPr="00EE0BE4">
        <w:rPr>
          <w:rFonts w:ascii="Garamond" w:hAnsi="Garamond" w:cs="Times New Roman"/>
        </w:rPr>
        <w:t xml:space="preserve">. Additionally, a third of the world's population is at risk of being excluded from markets, services, and participation in cultural and political spaces </w:t>
      </w:r>
      <w:r w:rsidR="00B76D6D">
        <w:rPr>
          <w:rFonts w:ascii="Garamond" w:hAnsi="Garamond" w:cs="Times New Roman"/>
        </w:rPr>
        <w:t>(</w:t>
      </w:r>
      <w:r w:rsidRPr="00EE0BE4">
        <w:rPr>
          <w:rFonts w:ascii="Garamond" w:hAnsi="Garamond" w:cs="Times New Roman"/>
        </w:rPr>
        <w:t>Cuesta et al</w:t>
      </w:r>
      <w:r>
        <w:rPr>
          <w:rFonts w:ascii="Garamond" w:hAnsi="Garamond" w:cs="Times New Roman"/>
        </w:rPr>
        <w:t>.</w:t>
      </w:r>
      <w:r w:rsidR="00B76D6D">
        <w:rPr>
          <w:rFonts w:ascii="Garamond" w:hAnsi="Garamond" w:cs="Times New Roman"/>
        </w:rPr>
        <w:t>,</w:t>
      </w:r>
      <w:r w:rsidRPr="00EE0BE4">
        <w:rPr>
          <w:rFonts w:ascii="Garamond" w:hAnsi="Garamond" w:cs="Times New Roman"/>
        </w:rPr>
        <w:t xml:space="preserve"> 2022</w:t>
      </w:r>
      <w:r>
        <w:rPr>
          <w:rFonts w:ascii="Garamond" w:hAnsi="Garamond" w:cs="Times New Roman"/>
        </w:rPr>
        <w:t>)</w:t>
      </w:r>
      <w:r w:rsidRPr="00EE0BE4">
        <w:rPr>
          <w:rFonts w:ascii="Garamond" w:hAnsi="Garamond" w:cs="Times New Roman"/>
        </w:rPr>
        <w:t>. However, we are not sure how these issues overlap. Thus, understanding and addressing the links between weak social sustainability and various forms of poverty is crucial for fostering inclusive growth and designing effective interventions.</w:t>
      </w:r>
    </w:p>
    <w:p w14:paraId="0BEA2709" w14:textId="2E25E274" w:rsidR="008C2353" w:rsidRDefault="00B76D6D" w:rsidP="00535972">
      <w:pPr>
        <w:spacing w:line="360" w:lineRule="auto"/>
        <w:jc w:val="both"/>
        <w:rPr>
          <w:rFonts w:ascii="Garamond" w:hAnsi="Garamond" w:cs="Times New Roman"/>
        </w:rPr>
      </w:pPr>
      <w:r w:rsidRPr="00B76D6D">
        <w:rPr>
          <w:rFonts w:ascii="Garamond" w:hAnsi="Garamond" w:cs="Times New Roman"/>
          <w:b/>
          <w:bCs/>
        </w:rPr>
        <w:lastRenderedPageBreak/>
        <w:t>Increasing the existing availability of disaggregated data of vulnerable populations is key for better understanding broad-based inclusive growth</w:t>
      </w:r>
      <w:r>
        <w:rPr>
          <w:rFonts w:ascii="Garamond" w:hAnsi="Garamond" w:cs="Times New Roman"/>
        </w:rPr>
        <w:t xml:space="preserve">. </w:t>
      </w:r>
      <w:r w:rsidR="00535972" w:rsidRPr="00535972">
        <w:rPr>
          <w:rFonts w:ascii="Garamond" w:hAnsi="Garamond" w:cs="Times New Roman"/>
        </w:rPr>
        <w:t>There is a pressing need to enhance the quality, scope, and accessibility of data segmented by gender, ethnicity, sexual orientation, disability</w:t>
      </w:r>
      <w:r w:rsidR="008E7250">
        <w:rPr>
          <w:rFonts w:ascii="Garamond" w:hAnsi="Garamond" w:cs="Times New Roman"/>
        </w:rPr>
        <w:t>, and geolocation</w:t>
      </w:r>
      <w:r w:rsidR="00535972" w:rsidRPr="00535972">
        <w:rPr>
          <w:rFonts w:ascii="Garamond" w:hAnsi="Garamond" w:cs="Times New Roman"/>
        </w:rPr>
        <w:t xml:space="preserve">. While over 80 data platforms exist within the </w:t>
      </w:r>
      <w:r w:rsidR="003F5E48">
        <w:rPr>
          <w:rFonts w:ascii="Garamond" w:hAnsi="Garamond" w:cs="Times New Roman"/>
        </w:rPr>
        <w:t>WBG</w:t>
      </w:r>
      <w:r w:rsidR="00535972"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4"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4"/>
    </w:p>
    <w:p w14:paraId="36C018F9" w14:textId="3C95F11D"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w:t>
      </w:r>
      <w:r w:rsidR="00D6369B">
        <w:rPr>
          <w:rFonts w:ascii="Garamond" w:hAnsi="Garamond" w:cs="Times New Roman"/>
        </w:rPr>
        <w:t xml:space="preserve"> that </w:t>
      </w:r>
      <w:r w:rsidR="008E4316">
        <w:rPr>
          <w:rFonts w:ascii="Garamond" w:hAnsi="Garamond" w:cs="Times New Roman"/>
        </w:rPr>
        <w:t>addresses</w:t>
      </w:r>
      <w:r w:rsidR="00D6369B">
        <w:rPr>
          <w:rFonts w:ascii="Garamond" w:hAnsi="Garamond" w:cs="Times New Roman"/>
        </w:rPr>
        <w:t xml:space="preserve"> the multiple dimensions of social sustainability</w:t>
      </w:r>
      <w:r w:rsidRPr="00B04F83">
        <w:rPr>
          <w:rFonts w:ascii="Garamond" w:hAnsi="Garamond" w:cs="Times New Roman"/>
        </w:rPr>
        <w:t>. This</w:t>
      </w:r>
      <w:r w:rsidR="00D6369B">
        <w:rPr>
          <w:rFonts w:ascii="Garamond" w:hAnsi="Garamond" w:cs="Times New Roman"/>
        </w:rPr>
        <w:t xml:space="preserve"> new version</w:t>
      </w:r>
      <w:r w:rsidRPr="00B04F83">
        <w:rPr>
          <w:rFonts w:ascii="Garamond" w:hAnsi="Garamond" w:cs="Times New Roman"/>
        </w:rPr>
        <w:t xml:space="preserve"> </w:t>
      </w:r>
      <w:r w:rsidR="00D6369B">
        <w:rPr>
          <w:rFonts w:ascii="Garamond" w:hAnsi="Garamond" w:cs="Times New Roman"/>
        </w:rPr>
        <w:t>goes beyond national aggregated data and population group breakdowns to include time analysis, subnational analysis, and geospatial visualization that overlays with climate data among other sources</w:t>
      </w:r>
      <w:r w:rsidRPr="00B04F83">
        <w:rPr>
          <w:rFonts w:ascii="Garamond" w:hAnsi="Garamond" w:cs="Times New Roman"/>
        </w:rPr>
        <w:t xml:space="preserve">. </w:t>
      </w:r>
      <w:r w:rsidR="00D6369B">
        <w:rPr>
          <w:rFonts w:ascii="Garamond" w:hAnsi="Garamond" w:cs="Times New Roman"/>
        </w:rPr>
        <w:t>SSGD v2.0</w:t>
      </w:r>
      <w:r w:rsidRPr="00B04F83">
        <w:rPr>
          <w:rFonts w:ascii="Garamond" w:hAnsi="Garamond" w:cs="Times New Roman"/>
        </w:rPr>
        <w:t xml:space="preserve"> includes 83 </w:t>
      </w:r>
      <w:r w:rsidR="00D6369B">
        <w:rPr>
          <w:rFonts w:ascii="Garamond" w:hAnsi="Garamond" w:cs="Times New Roman"/>
        </w:rPr>
        <w:t>leading</w:t>
      </w:r>
      <w:r w:rsidRPr="00B04F83">
        <w:rPr>
          <w:rFonts w:ascii="Garamond" w:hAnsi="Garamond" w:cs="Times New Roman"/>
        </w:rPr>
        <w:t xml:space="preserve"> indicators </w:t>
      </w:r>
      <w:r w:rsidR="00D6369B">
        <w:rPr>
          <w:rFonts w:ascii="Garamond" w:hAnsi="Garamond" w:cs="Times New Roman"/>
        </w:rPr>
        <w:t>of</w:t>
      </w:r>
      <w:r w:rsidRPr="00B04F83">
        <w:rPr>
          <w:rFonts w:ascii="Garamond" w:hAnsi="Garamond" w:cs="Times New Roman"/>
        </w:rPr>
        <w:t xml:space="preserve"> the four pillars of social sustainability: </w:t>
      </w:r>
      <w:r w:rsidR="00D6369B">
        <w:rPr>
          <w:rFonts w:ascii="Garamond" w:hAnsi="Garamond" w:cs="Times New Roman"/>
        </w:rPr>
        <w:t>i</w:t>
      </w:r>
      <w:r w:rsidRPr="00B04F83">
        <w:rPr>
          <w:rFonts w:ascii="Garamond" w:hAnsi="Garamond" w:cs="Times New Roman"/>
        </w:rPr>
        <w:t xml:space="preserve">nclusion, </w:t>
      </w:r>
      <w:r w:rsidR="00D6369B">
        <w:rPr>
          <w:rFonts w:ascii="Garamond" w:hAnsi="Garamond" w:cs="Times New Roman"/>
        </w:rPr>
        <w:t>r</w:t>
      </w:r>
      <w:r w:rsidRPr="00B04F83">
        <w:rPr>
          <w:rFonts w:ascii="Garamond" w:hAnsi="Garamond" w:cs="Times New Roman"/>
        </w:rPr>
        <w:t xml:space="preserve">esilience, </w:t>
      </w:r>
      <w:r w:rsidR="00D6369B">
        <w:rPr>
          <w:rFonts w:ascii="Garamond" w:hAnsi="Garamond" w:cs="Times New Roman"/>
        </w:rPr>
        <w:t>s</w:t>
      </w:r>
      <w:r w:rsidRPr="00B04F83">
        <w:rPr>
          <w:rFonts w:ascii="Garamond" w:hAnsi="Garamond" w:cs="Times New Roman"/>
        </w:rPr>
        <w:t xml:space="preserve">ocial </w:t>
      </w:r>
      <w:r w:rsidR="00D6369B">
        <w:rPr>
          <w:rFonts w:ascii="Garamond" w:hAnsi="Garamond" w:cs="Times New Roman"/>
        </w:rPr>
        <w:t>c</w:t>
      </w:r>
      <w:r w:rsidRPr="00B04F83">
        <w:rPr>
          <w:rFonts w:ascii="Garamond" w:hAnsi="Garamond" w:cs="Times New Roman"/>
        </w:rPr>
        <w:t xml:space="preserve">ohesion, and </w:t>
      </w:r>
      <w:r w:rsidR="00D6369B">
        <w:rPr>
          <w:rFonts w:ascii="Garamond" w:hAnsi="Garamond" w:cs="Times New Roman"/>
        </w:rPr>
        <w:t>p</w:t>
      </w:r>
      <w:r w:rsidRPr="00B04F83">
        <w:rPr>
          <w:rFonts w:ascii="Garamond" w:hAnsi="Garamond" w:cs="Times New Roman"/>
        </w:rPr>
        <w:t xml:space="preserve">rocess </w:t>
      </w:r>
      <w:r w:rsidR="00D6369B">
        <w:rPr>
          <w:rFonts w:ascii="Garamond" w:hAnsi="Garamond" w:cs="Times New Roman"/>
        </w:rPr>
        <w:t>l</w:t>
      </w:r>
      <w:r w:rsidRPr="00B04F83">
        <w:rPr>
          <w:rFonts w:ascii="Garamond" w:hAnsi="Garamond" w:cs="Times New Roman"/>
        </w:rPr>
        <w:t>egitimacy</w:t>
      </w:r>
      <w:r w:rsidR="00D6369B">
        <w:rPr>
          <w:rFonts w:ascii="Garamond" w:hAnsi="Garamond" w:cs="Times New Roman"/>
        </w:rPr>
        <w:t xml:space="preserve">, plus </w:t>
      </w:r>
      <w:r w:rsidRPr="00B04F83">
        <w:rPr>
          <w:rFonts w:ascii="Garamond" w:hAnsi="Garamond" w:cs="Times New Roman"/>
        </w:rPr>
        <w:t xml:space="preserve">43 </w:t>
      </w:r>
      <w:r w:rsidR="000F785A">
        <w:rPr>
          <w:rFonts w:ascii="Garamond" w:hAnsi="Garamond" w:cs="Times New Roman"/>
        </w:rPr>
        <w:t>development</w:t>
      </w:r>
      <w:r w:rsidRPr="00B04F83">
        <w:rPr>
          <w:rFonts w:ascii="Garamond" w:hAnsi="Garamond" w:cs="Times New Roman"/>
        </w:rPr>
        <w:t xml:space="preserve"> indicators</w:t>
      </w:r>
      <w:r w:rsidR="00D6369B">
        <w:rPr>
          <w:rFonts w:ascii="Garamond" w:hAnsi="Garamond" w:cs="Times New Roman"/>
        </w:rPr>
        <w:t xml:space="preserve"> of associated development outcomes such as economic growth, inequality, and poverty (See Appendix </w:t>
      </w:r>
      <w:r w:rsidR="00004118">
        <w:rPr>
          <w:rFonts w:ascii="Garamond" w:hAnsi="Garamond" w:cs="Times New Roman"/>
        </w:rPr>
        <w:t>A</w:t>
      </w:r>
      <w:r w:rsidR="00D6369B">
        <w:rPr>
          <w:rFonts w:ascii="Garamond" w:hAnsi="Garamond" w:cs="Times New Roman"/>
        </w:rPr>
        <w:t xml:space="preserve"> for a</w:t>
      </w:r>
      <w:r w:rsidR="00004118">
        <w:rPr>
          <w:rFonts w:ascii="Garamond" w:hAnsi="Garamond" w:cs="Times New Roman"/>
        </w:rPr>
        <w:t xml:space="preserve"> codebook with a</w:t>
      </w:r>
      <w:r w:rsidR="00D6369B">
        <w:rPr>
          <w:rFonts w:ascii="Garamond" w:hAnsi="Garamond" w:cs="Times New Roman"/>
        </w:rPr>
        <w:t xml:space="preserve"> complete list of indicators)</w:t>
      </w:r>
      <w:r w:rsidRPr="00B04F83">
        <w:rPr>
          <w:rFonts w:ascii="Garamond" w:hAnsi="Garamond" w:cs="Times New Roman"/>
        </w:rPr>
        <w:t>.</w:t>
      </w:r>
      <w:r>
        <w:rPr>
          <w:rFonts w:ascii="Garamond" w:hAnsi="Garamond" w:cs="Times New Roman"/>
        </w:rPr>
        <w:t xml:space="preserve"> The SSGD v2.0 </w:t>
      </w:r>
      <w:r w:rsidR="00D6369B">
        <w:rPr>
          <w:rFonts w:ascii="Garamond" w:hAnsi="Garamond" w:cs="Times New Roman"/>
        </w:rPr>
        <w:t>comprises</w:t>
      </w:r>
      <w:r>
        <w:rPr>
          <w:rFonts w:ascii="Garamond" w:hAnsi="Garamond" w:cs="Times New Roman"/>
        </w:rPr>
        <w:t xml:space="preserve"> 2</w:t>
      </w:r>
      <w:r w:rsidR="00B2586C">
        <w:rPr>
          <w:rFonts w:ascii="Garamond" w:hAnsi="Garamond" w:cs="Times New Roman"/>
        </w:rPr>
        <w:t>31</w:t>
      </w:r>
      <w:r>
        <w:rPr>
          <w:rFonts w:ascii="Garamond" w:hAnsi="Garamond" w:cs="Times New Roman"/>
        </w:rPr>
        <w:t xml:space="preserve"> countries distributed among the seven WBG regions.</w:t>
      </w:r>
      <w:r w:rsidR="00FD2500">
        <w:rPr>
          <w:rFonts w:ascii="Garamond" w:hAnsi="Garamond" w:cs="Times New Roman"/>
        </w:rPr>
        <w:t xml:space="preserve"> Figure 2 shows the structure of the SSGD v2.0.</w:t>
      </w:r>
    </w:p>
    <w:p w14:paraId="444036B0" w14:textId="25806395" w:rsidR="00240C2C" w:rsidRPr="000F785A" w:rsidRDefault="00240C2C" w:rsidP="000F785A">
      <w:pPr>
        <w:pStyle w:val="NormalWeb"/>
        <w:jc w:val="center"/>
      </w:pPr>
      <w:r w:rsidRPr="00B04F83">
        <w:rPr>
          <w:rFonts w:ascii="Garamond" w:hAnsi="Garamond"/>
          <w:b/>
          <w:bCs/>
        </w:rPr>
        <w:t xml:space="preserve">Figure </w:t>
      </w:r>
      <w:r w:rsidR="00B04F83" w:rsidRPr="00B04F83">
        <w:rPr>
          <w:rFonts w:ascii="Garamond" w:hAnsi="Garamond"/>
          <w:b/>
          <w:bCs/>
        </w:rPr>
        <w:t>2</w:t>
      </w:r>
      <w:r>
        <w:rPr>
          <w:rFonts w:ascii="Garamond" w:hAnsi="Garamond"/>
        </w:rPr>
        <w:t xml:space="preserve">: SSGD v2.0 </w:t>
      </w:r>
      <w:r w:rsidR="00B04F83">
        <w:rPr>
          <w:rFonts w:ascii="Garamond" w:hAnsi="Garamond"/>
        </w:rPr>
        <w:t>structure</w:t>
      </w:r>
      <w:r w:rsidR="000F785A">
        <w:rPr>
          <w:noProof/>
        </w:rPr>
        <w:drawing>
          <wp:inline distT="0" distB="0" distL="0" distR="0" wp14:anchorId="347F2B05" wp14:editId="0496BA94">
            <wp:extent cx="5400040" cy="3454400"/>
            <wp:effectExtent l="0" t="0" r="0" b="0"/>
            <wp:docPr id="1549535186" name="Picture 3" descr="A diagram of a diagram of a social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5186" name="Picture 3" descr="A diagram of a diagram of a social policy&#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70C71203" w14:textId="44A4B537" w:rsidR="00B76D6D" w:rsidRDefault="00D6369B" w:rsidP="00240C2C">
      <w:pPr>
        <w:spacing w:line="360" w:lineRule="auto"/>
        <w:jc w:val="both"/>
        <w:rPr>
          <w:rFonts w:ascii="Garamond" w:hAnsi="Garamond" w:cs="Times New Roman"/>
        </w:rPr>
        <w:sectPr w:rsidR="00B76D6D" w:rsidSect="007C0C6D">
          <w:footerReference w:type="default" r:id="rId11"/>
          <w:pgSz w:w="11906" w:h="16838"/>
          <w:pgMar w:top="1417" w:right="1701" w:bottom="1417" w:left="1701" w:header="708" w:footer="708" w:gutter="0"/>
          <w:pgNumType w:start="0"/>
          <w:cols w:space="708"/>
          <w:titlePg/>
          <w:docGrid w:linePitch="360"/>
        </w:sectPr>
      </w:pPr>
      <w:r>
        <w:rPr>
          <w:rFonts w:ascii="Garamond" w:hAnsi="Garamond" w:cs="Times New Roman"/>
        </w:rPr>
        <w:t>A review of</w:t>
      </w:r>
      <w:r w:rsidR="00240C2C" w:rsidRPr="00161DB4">
        <w:rPr>
          <w:rFonts w:ascii="Garamond" w:hAnsi="Garamond" w:cs="Times New Roman"/>
        </w:rPr>
        <w:t xml:space="preserve"> publicly accessible</w:t>
      </w:r>
      <w:r>
        <w:rPr>
          <w:rFonts w:ascii="Garamond" w:hAnsi="Garamond" w:cs="Times New Roman"/>
        </w:rPr>
        <w:t>, internationally reliable, and widely used</w:t>
      </w:r>
      <w:r w:rsidR="00240C2C" w:rsidRPr="00161DB4">
        <w:rPr>
          <w:rFonts w:ascii="Garamond" w:hAnsi="Garamond" w:cs="Times New Roman"/>
        </w:rPr>
        <w:t xml:space="preserve"> </w:t>
      </w:r>
      <w:r>
        <w:rPr>
          <w:rFonts w:ascii="Garamond" w:hAnsi="Garamond" w:cs="Times New Roman"/>
        </w:rPr>
        <w:t>data sources</w:t>
      </w:r>
      <w:r w:rsidR="00240C2C" w:rsidRPr="00161DB4">
        <w:rPr>
          <w:rFonts w:ascii="Garamond" w:hAnsi="Garamond" w:cs="Times New Roman"/>
        </w:rPr>
        <w:t xml:space="preserve"> </w:t>
      </w:r>
      <w:r>
        <w:rPr>
          <w:rFonts w:ascii="Garamond" w:hAnsi="Garamond" w:cs="Times New Roman"/>
        </w:rPr>
        <w:t>identified</w:t>
      </w:r>
      <w:r w:rsidR="00240C2C" w:rsidRPr="00161DB4">
        <w:rPr>
          <w:rFonts w:ascii="Garamond" w:hAnsi="Garamond" w:cs="Times New Roman"/>
        </w:rPr>
        <w:t xml:space="preserve"> 18</w:t>
      </w:r>
      <w:r>
        <w:rPr>
          <w:rFonts w:ascii="Garamond" w:hAnsi="Garamond" w:cs="Times New Roman"/>
        </w:rPr>
        <w:t xml:space="preserve"> data</w:t>
      </w:r>
      <w:r w:rsidR="00240C2C" w:rsidRPr="00161DB4">
        <w:rPr>
          <w:rFonts w:ascii="Garamond" w:hAnsi="Garamond" w:cs="Times New Roman"/>
        </w:rPr>
        <w:t xml:space="preserve"> sources</w:t>
      </w:r>
      <w:r>
        <w:rPr>
          <w:rFonts w:ascii="Garamond" w:hAnsi="Garamond" w:cs="Times New Roman"/>
        </w:rPr>
        <w:t xml:space="preserve"> of social sustainability</w:t>
      </w:r>
      <w:r w:rsidR="008E4316">
        <w:rPr>
          <w:rFonts w:ascii="Garamond" w:hAnsi="Garamond" w:cs="Times New Roman"/>
        </w:rPr>
        <w:t>-</w:t>
      </w:r>
      <w:r>
        <w:rPr>
          <w:rFonts w:ascii="Garamond" w:hAnsi="Garamond" w:cs="Times New Roman"/>
        </w:rPr>
        <w:t>related indicators</w:t>
      </w:r>
      <w:r w:rsidR="00240C2C" w:rsidRPr="00161DB4">
        <w:rPr>
          <w:rFonts w:ascii="Garamond" w:hAnsi="Garamond" w:cs="Times New Roman"/>
        </w:rPr>
        <w:t>.</w:t>
      </w:r>
      <w:r w:rsidR="00240C2C">
        <w:rPr>
          <w:rFonts w:ascii="Garamond" w:hAnsi="Garamond" w:cs="Times New Roman"/>
        </w:rPr>
        <w:t xml:space="preserve"> These sources include</w:t>
      </w:r>
      <w:r w:rsidR="00240C2C" w:rsidRPr="00E2379C">
        <w:rPr>
          <w:rFonts w:ascii="Garamond" w:hAnsi="Garamond" w:cs="Times New Roman"/>
        </w:rPr>
        <w:t xml:space="preserve"> </w:t>
      </w:r>
      <w:r w:rsidR="00240C2C">
        <w:rPr>
          <w:rFonts w:ascii="Garamond" w:hAnsi="Garamond" w:cs="Times New Roman"/>
        </w:rPr>
        <w:t>public opinion surveys, institutional databases</w:t>
      </w:r>
      <w:r w:rsidR="00E268DB">
        <w:rPr>
          <w:rFonts w:ascii="Garamond" w:hAnsi="Garamond" w:cs="Times New Roman"/>
        </w:rPr>
        <w:t>,</w:t>
      </w:r>
      <w:r w:rsidR="00240C2C">
        <w:rPr>
          <w:rFonts w:ascii="Garamond" w:hAnsi="Garamond" w:cs="Times New Roman"/>
        </w:rPr>
        <w:t xml:space="preserve"> and repositories, research and analysis projects, law and governance initiatives, </w:t>
      </w:r>
      <w:r w:rsidR="008E4316">
        <w:rPr>
          <w:rFonts w:ascii="Garamond" w:hAnsi="Garamond" w:cs="Times New Roman"/>
        </w:rPr>
        <w:t xml:space="preserve">and </w:t>
      </w:r>
      <w:r w:rsidR="00240C2C">
        <w:rPr>
          <w:rFonts w:ascii="Garamond" w:hAnsi="Garamond" w:cs="Times New Roman"/>
        </w:rPr>
        <w:t>studies on the rights of sexual and gender minorities</w:t>
      </w:r>
      <w:r w:rsidR="00E268DB">
        <w:rPr>
          <w:rFonts w:ascii="Garamond" w:hAnsi="Garamond" w:cs="Times New Roman"/>
        </w:rPr>
        <w:t>,</w:t>
      </w:r>
      <w:r w:rsidR="00240C2C">
        <w:rPr>
          <w:rFonts w:ascii="Garamond" w:hAnsi="Garamond" w:cs="Times New Roman"/>
        </w:rPr>
        <w:t xml:space="preserve"> a</w:t>
      </w:r>
      <w:r>
        <w:rPr>
          <w:rFonts w:ascii="Garamond" w:hAnsi="Garamond" w:cs="Times New Roman"/>
        </w:rPr>
        <w:t>mong</w:t>
      </w:r>
      <w:r w:rsidR="00240C2C">
        <w:rPr>
          <w:rFonts w:ascii="Garamond" w:hAnsi="Garamond" w:cs="Times New Roman"/>
        </w:rPr>
        <w:t xml:space="preserve"> others.</w:t>
      </w:r>
      <w:r>
        <w:rPr>
          <w:rFonts w:ascii="Garamond" w:hAnsi="Garamond" w:cs="Times New Roman"/>
        </w:rPr>
        <w:t xml:space="preserve"> As the construction of disaggregated metrics on social sustainability requires using microdata, </w:t>
      </w:r>
      <w:r w:rsidR="00FD2500" w:rsidRPr="00FD2500">
        <w:rPr>
          <w:rFonts w:ascii="Garamond" w:hAnsi="Garamond" w:cs="Times New Roman"/>
        </w:rPr>
        <w:t xml:space="preserve">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r>
        <w:rPr>
          <w:rFonts w:ascii="Garamond" w:hAnsi="Garamond" w:cs="Times New Roman"/>
        </w:rPr>
        <w:t xml:space="preserve">Table </w:t>
      </w:r>
      <w:r w:rsidR="00B76D6D">
        <w:rPr>
          <w:rFonts w:ascii="Garamond" w:hAnsi="Garamond" w:cs="Times New Roman"/>
        </w:rPr>
        <w:t>1</w:t>
      </w:r>
      <w:r>
        <w:rPr>
          <w:rFonts w:ascii="Garamond" w:hAnsi="Garamond" w:cs="Times New Roman"/>
        </w:rPr>
        <w:t xml:space="preserve"> presents a complete list</w:t>
      </w:r>
      <w:r w:rsidR="00240C2C">
        <w:rPr>
          <w:rFonts w:ascii="Garamond" w:hAnsi="Garamond" w:cs="Times New Roman"/>
        </w:rPr>
        <w:t xml:space="preserve"> of the</w:t>
      </w:r>
      <w:r>
        <w:rPr>
          <w:rFonts w:ascii="Garamond" w:hAnsi="Garamond" w:cs="Times New Roman"/>
        </w:rPr>
        <w:t>se</w:t>
      </w:r>
      <w:r w:rsidR="00240C2C">
        <w:rPr>
          <w:rFonts w:ascii="Garamond" w:hAnsi="Garamond" w:cs="Times New Roman"/>
        </w:rPr>
        <w:t xml:space="preserve"> data sources</w:t>
      </w:r>
      <w:r w:rsidR="00B76D6D">
        <w:rPr>
          <w:rFonts w:ascii="Garamond" w:hAnsi="Garamond" w:cs="Times New Roman"/>
        </w:rPr>
        <w:t xml:space="preserve"> along with source links,</w:t>
      </w:r>
      <w:r>
        <w:rPr>
          <w:rFonts w:ascii="Garamond" w:hAnsi="Garamond" w:cs="Times New Roman"/>
        </w:rPr>
        <w:t xml:space="preserve"> and below we provide a brief description of them.</w:t>
      </w:r>
      <w:r w:rsidR="00B76D6D">
        <w:rPr>
          <w:rFonts w:ascii="Garamond" w:hAnsi="Garamond" w:cs="Times New Roman"/>
        </w:rPr>
        <w:t xml:space="preserve"> </w:t>
      </w:r>
    </w:p>
    <w:p w14:paraId="33447EBF" w14:textId="164281A5" w:rsidR="000C2916" w:rsidRDefault="000C2916" w:rsidP="000C2916">
      <w:pPr>
        <w:spacing w:line="360" w:lineRule="auto"/>
        <w:jc w:val="center"/>
        <w:rPr>
          <w:rFonts w:ascii="Garamond" w:hAnsi="Garamond" w:cs="Times New Roman"/>
        </w:rPr>
      </w:pPr>
      <w:r w:rsidRPr="000C2916">
        <w:rPr>
          <w:rFonts w:ascii="Garamond" w:hAnsi="Garamond" w:cs="Times New Roman"/>
          <w:b/>
          <w:bCs/>
        </w:rPr>
        <w:lastRenderedPageBreak/>
        <w:t>Table 1</w:t>
      </w:r>
      <w:r>
        <w:rPr>
          <w:rFonts w:ascii="Garamond" w:hAnsi="Garamond" w:cs="Times New Roman"/>
        </w:rPr>
        <w:t>: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0C2916" w:rsidRPr="00F11EE5" w14:paraId="7410AC25" w14:textId="77777777" w:rsidTr="00210EB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65BF3D5A" w14:textId="77777777"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r w:rsidRPr="00F11EE5">
              <w:rPr>
                <w:rFonts w:ascii="Garamond" w:eastAsia="Times New Roman" w:hAnsi="Garamond" w:cs="Times New Roman"/>
                <w:b/>
                <w:bCs/>
                <w:color w:val="000000"/>
                <w:kern w:val="0"/>
                <w:sz w:val="24"/>
                <w:szCs w:val="24"/>
                <w:lang w:val="es-PE" w:eastAsia="es-PE"/>
                <w14:ligatures w14:val="none"/>
              </w:rPr>
              <w:t>Source</w:t>
            </w:r>
          </w:p>
        </w:tc>
        <w:tc>
          <w:tcPr>
            <w:tcW w:w="7371" w:type="dxa"/>
            <w:tcBorders>
              <w:top w:val="nil"/>
              <w:left w:val="nil"/>
              <w:bottom w:val="single" w:sz="4" w:space="0" w:color="auto"/>
              <w:right w:val="nil"/>
            </w:tcBorders>
            <w:shd w:val="clear" w:color="auto" w:fill="auto"/>
            <w:noWrap/>
            <w:vAlign w:val="center"/>
            <w:hideMark/>
          </w:tcPr>
          <w:p w14:paraId="74A188F9" w14:textId="3DC783A4"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r w:rsidRPr="00F11EE5">
              <w:rPr>
                <w:rFonts w:ascii="Garamond" w:eastAsia="Times New Roman" w:hAnsi="Garamond" w:cs="Times New Roman"/>
                <w:b/>
                <w:bCs/>
                <w:color w:val="000000"/>
                <w:kern w:val="0"/>
                <w:sz w:val="24"/>
                <w:szCs w:val="24"/>
                <w:lang w:val="es-PE" w:eastAsia="es-PE"/>
                <w14:ligatures w14:val="none"/>
              </w:rPr>
              <w:t>Link</w:t>
            </w:r>
            <w:r>
              <w:rPr>
                <w:rFonts w:ascii="Garamond" w:eastAsia="Times New Roman" w:hAnsi="Garamond" w:cs="Times New Roman"/>
                <w:b/>
                <w:bCs/>
                <w:color w:val="000000"/>
                <w:kern w:val="0"/>
                <w:sz w:val="24"/>
                <w:szCs w:val="24"/>
                <w:lang w:val="es-PE" w:eastAsia="es-PE"/>
                <w14:ligatures w14:val="none"/>
              </w:rPr>
              <w:t xml:space="preserve"> to data portal</w:t>
            </w:r>
          </w:p>
        </w:tc>
      </w:tr>
      <w:tr w:rsidR="000C2916" w:rsidRPr="00F11EE5" w14:paraId="7940FB1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EA8F2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72723AE6"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Global Monitoring Database (GMD)</w:t>
            </w:r>
          </w:p>
        </w:tc>
        <w:tc>
          <w:tcPr>
            <w:tcW w:w="7371" w:type="dxa"/>
            <w:tcBorders>
              <w:top w:val="nil"/>
              <w:left w:val="nil"/>
              <w:bottom w:val="nil"/>
              <w:right w:val="nil"/>
            </w:tcBorders>
            <w:shd w:val="clear" w:color="000000" w:fill="F2F2F2"/>
            <w:noWrap/>
            <w:vAlign w:val="bottom"/>
            <w:hideMark/>
          </w:tcPr>
          <w:p w14:paraId="234A6CE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r w:rsidRPr="00257FF1">
              <w:rPr>
                <w:rFonts w:ascii="Consolas" w:eastAsia="Times New Roman" w:hAnsi="Consolas" w:cs="Times New Roman"/>
                <w:color w:val="000000"/>
                <w:kern w:val="0"/>
                <w:sz w:val="20"/>
                <w:szCs w:val="20"/>
                <w:lang w:eastAsia="es-PE"/>
                <w14:ligatures w14:val="none"/>
              </w:rPr>
              <w:t>datalibweb</w:t>
            </w:r>
            <w:r>
              <w:rPr>
                <w:rFonts w:ascii="Garamond" w:eastAsia="Times New Roman" w:hAnsi="Garamond" w:cs="Times New Roman"/>
                <w:color w:val="000000"/>
                <w:kern w:val="0"/>
                <w:lang w:eastAsia="es-PE"/>
                <w14:ligatures w14:val="none"/>
              </w:rPr>
              <w:t>.</w:t>
            </w:r>
          </w:p>
        </w:tc>
      </w:tr>
      <w:tr w:rsidR="000C2916" w:rsidRPr="00F11EE5" w14:paraId="3267D92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4CED700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4BEFB241"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Afrobarometer (AF)</w:t>
            </w:r>
          </w:p>
        </w:tc>
        <w:tc>
          <w:tcPr>
            <w:tcW w:w="7371" w:type="dxa"/>
            <w:tcBorders>
              <w:top w:val="nil"/>
              <w:left w:val="nil"/>
              <w:bottom w:val="nil"/>
              <w:right w:val="nil"/>
            </w:tcBorders>
            <w:shd w:val="clear" w:color="auto" w:fill="auto"/>
            <w:noWrap/>
            <w:vAlign w:val="bottom"/>
            <w:hideMark/>
          </w:tcPr>
          <w:p w14:paraId="45964F2A"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2" w:history="1">
              <w:r w:rsidR="000C2916" w:rsidRPr="00F11EE5">
                <w:rPr>
                  <w:rFonts w:ascii="Garamond" w:eastAsia="Times New Roman" w:hAnsi="Garamond" w:cs="Times New Roman"/>
                  <w:color w:val="467886"/>
                  <w:kern w:val="0"/>
                  <w:u w:val="single"/>
                  <w:lang w:val="es-PE" w:eastAsia="es-PE"/>
                  <w14:ligatures w14:val="none"/>
                </w:rPr>
                <w:t>https://www.afrobarometer.org/</w:t>
              </w:r>
            </w:hyperlink>
          </w:p>
        </w:tc>
      </w:tr>
      <w:tr w:rsidR="000C2916" w:rsidRPr="00F11EE5" w14:paraId="5379914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550246F1"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36877F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Arab Barometer (AB)</w:t>
            </w:r>
          </w:p>
        </w:tc>
        <w:tc>
          <w:tcPr>
            <w:tcW w:w="7371" w:type="dxa"/>
            <w:tcBorders>
              <w:top w:val="nil"/>
              <w:left w:val="nil"/>
              <w:bottom w:val="nil"/>
              <w:right w:val="nil"/>
            </w:tcBorders>
            <w:shd w:val="clear" w:color="000000" w:fill="F2F2F2"/>
            <w:noWrap/>
            <w:vAlign w:val="bottom"/>
            <w:hideMark/>
          </w:tcPr>
          <w:p w14:paraId="69CF5EED"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3" w:history="1">
              <w:r w:rsidR="000C2916" w:rsidRPr="00F11EE5">
                <w:rPr>
                  <w:rFonts w:ascii="Garamond" w:eastAsia="Times New Roman" w:hAnsi="Garamond" w:cs="Times New Roman"/>
                  <w:color w:val="467886"/>
                  <w:kern w:val="0"/>
                  <w:u w:val="single"/>
                  <w:lang w:val="es-PE" w:eastAsia="es-PE"/>
                  <w14:ligatures w14:val="none"/>
                </w:rPr>
                <w:t>https://www.arabbarometer.org/</w:t>
              </w:r>
            </w:hyperlink>
          </w:p>
        </w:tc>
      </w:tr>
      <w:tr w:rsidR="000C2916" w:rsidRPr="00F11EE5" w14:paraId="3C773530"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79C708D6"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63AAF4D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Asian Barometer (ASB)</w:t>
            </w:r>
          </w:p>
        </w:tc>
        <w:tc>
          <w:tcPr>
            <w:tcW w:w="7371" w:type="dxa"/>
            <w:tcBorders>
              <w:top w:val="nil"/>
              <w:left w:val="nil"/>
              <w:bottom w:val="nil"/>
              <w:right w:val="nil"/>
            </w:tcBorders>
            <w:shd w:val="clear" w:color="auto" w:fill="auto"/>
            <w:noWrap/>
            <w:vAlign w:val="bottom"/>
            <w:hideMark/>
          </w:tcPr>
          <w:p w14:paraId="3080137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4" w:history="1">
              <w:r w:rsidR="000C2916" w:rsidRPr="00F11EE5">
                <w:rPr>
                  <w:rFonts w:ascii="Garamond" w:eastAsia="Times New Roman" w:hAnsi="Garamond" w:cs="Times New Roman"/>
                  <w:color w:val="467886"/>
                  <w:kern w:val="0"/>
                  <w:u w:val="single"/>
                  <w:lang w:val="es-PE" w:eastAsia="es-PE"/>
                  <w14:ligatures w14:val="none"/>
                </w:rPr>
                <w:t>https://www.asianbarometer.org/</w:t>
              </w:r>
            </w:hyperlink>
          </w:p>
        </w:tc>
      </w:tr>
      <w:tr w:rsidR="000C2916" w:rsidRPr="00BB3D76" w14:paraId="1C37495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4440496E"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714DD66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Latinobarometro (LB)</w:t>
            </w:r>
          </w:p>
        </w:tc>
        <w:tc>
          <w:tcPr>
            <w:tcW w:w="7371" w:type="dxa"/>
            <w:tcBorders>
              <w:top w:val="nil"/>
              <w:left w:val="nil"/>
              <w:bottom w:val="nil"/>
              <w:right w:val="nil"/>
            </w:tcBorders>
            <w:shd w:val="clear" w:color="000000" w:fill="F2F2F2"/>
            <w:noWrap/>
            <w:vAlign w:val="bottom"/>
            <w:hideMark/>
          </w:tcPr>
          <w:p w14:paraId="522623C6"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5" w:history="1">
              <w:r w:rsidR="000C2916"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0C2916" w:rsidRPr="00BB3D76" w14:paraId="2F8D848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10060D8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5341322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 Values Survey (WVS)</w:t>
            </w:r>
          </w:p>
        </w:tc>
        <w:tc>
          <w:tcPr>
            <w:tcW w:w="7371" w:type="dxa"/>
            <w:tcBorders>
              <w:top w:val="nil"/>
              <w:left w:val="nil"/>
              <w:bottom w:val="nil"/>
              <w:right w:val="nil"/>
            </w:tcBorders>
            <w:shd w:val="clear" w:color="auto" w:fill="auto"/>
            <w:noWrap/>
            <w:vAlign w:val="bottom"/>
            <w:hideMark/>
          </w:tcPr>
          <w:p w14:paraId="072EF5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6" w:history="1">
              <w:r w:rsidR="000C2916"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0C2916" w:rsidRPr="00F11EE5" w14:paraId="4082025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321CB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228F216F"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European Values Study (EVS)</w:t>
            </w:r>
          </w:p>
        </w:tc>
        <w:tc>
          <w:tcPr>
            <w:tcW w:w="7371" w:type="dxa"/>
            <w:tcBorders>
              <w:top w:val="nil"/>
              <w:left w:val="nil"/>
              <w:bottom w:val="nil"/>
              <w:right w:val="nil"/>
            </w:tcBorders>
            <w:shd w:val="clear" w:color="000000" w:fill="F2F2F2"/>
            <w:noWrap/>
            <w:vAlign w:val="bottom"/>
            <w:hideMark/>
          </w:tcPr>
          <w:p w14:paraId="68026FA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7" w:history="1">
              <w:r w:rsidR="000C2916" w:rsidRPr="00F11EE5">
                <w:rPr>
                  <w:rFonts w:ascii="Garamond" w:eastAsia="Times New Roman" w:hAnsi="Garamond" w:cs="Times New Roman"/>
                  <w:color w:val="467886"/>
                  <w:kern w:val="0"/>
                  <w:u w:val="single"/>
                  <w:lang w:val="es-PE" w:eastAsia="es-PE"/>
                  <w14:ligatures w14:val="none"/>
                </w:rPr>
                <w:t>https://europeanvaluesstudy.eu/</w:t>
              </w:r>
            </w:hyperlink>
          </w:p>
        </w:tc>
      </w:tr>
      <w:tr w:rsidR="000C2916" w:rsidRPr="00F11EE5" w14:paraId="1271C7C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6A12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7FA49FAA"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 Justice Project (WJP)</w:t>
            </w:r>
          </w:p>
        </w:tc>
        <w:tc>
          <w:tcPr>
            <w:tcW w:w="7371" w:type="dxa"/>
            <w:tcBorders>
              <w:top w:val="nil"/>
              <w:left w:val="nil"/>
              <w:bottom w:val="nil"/>
              <w:right w:val="nil"/>
            </w:tcBorders>
            <w:shd w:val="clear" w:color="auto" w:fill="auto"/>
            <w:noWrap/>
            <w:vAlign w:val="bottom"/>
            <w:hideMark/>
          </w:tcPr>
          <w:p w14:paraId="698E481F"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8" w:history="1">
              <w:r w:rsidR="000C2916" w:rsidRPr="00F11EE5">
                <w:rPr>
                  <w:rFonts w:ascii="Garamond" w:eastAsia="Times New Roman" w:hAnsi="Garamond" w:cs="Times New Roman"/>
                  <w:color w:val="467886"/>
                  <w:kern w:val="0"/>
                  <w:u w:val="single"/>
                  <w:lang w:val="es-PE" w:eastAsia="es-PE"/>
                  <w14:ligatures w14:val="none"/>
                </w:rPr>
                <w:t>https://worldjusticeproject.org/</w:t>
              </w:r>
            </w:hyperlink>
          </w:p>
        </w:tc>
      </w:tr>
      <w:tr w:rsidR="000C2916" w:rsidRPr="00BB3D76" w14:paraId="1387FDCF"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209A9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37C14A9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Worldwide Governance Indicators (WGI)</w:t>
            </w:r>
          </w:p>
        </w:tc>
        <w:tc>
          <w:tcPr>
            <w:tcW w:w="7371" w:type="dxa"/>
            <w:tcBorders>
              <w:top w:val="nil"/>
              <w:left w:val="nil"/>
              <w:bottom w:val="nil"/>
              <w:right w:val="nil"/>
            </w:tcBorders>
            <w:shd w:val="clear" w:color="000000" w:fill="F2F2F2"/>
            <w:noWrap/>
            <w:vAlign w:val="bottom"/>
            <w:hideMark/>
          </w:tcPr>
          <w:p w14:paraId="0D5867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9" w:history="1">
              <w:r w:rsidR="000C2916"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0C2916" w:rsidRPr="00BB3D76" w14:paraId="28C42BA2"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6320B34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88ABD2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 Development Indicators (WDI)</w:t>
            </w:r>
          </w:p>
        </w:tc>
        <w:tc>
          <w:tcPr>
            <w:tcW w:w="7371" w:type="dxa"/>
            <w:tcBorders>
              <w:top w:val="nil"/>
              <w:left w:val="nil"/>
              <w:bottom w:val="nil"/>
              <w:right w:val="nil"/>
            </w:tcBorders>
            <w:shd w:val="clear" w:color="auto" w:fill="auto"/>
            <w:noWrap/>
            <w:vAlign w:val="bottom"/>
            <w:hideMark/>
          </w:tcPr>
          <w:p w14:paraId="7D866B02"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0" w:history="1">
              <w:r w:rsidR="000C2916"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0C2916" w:rsidRPr="00F11EE5" w14:paraId="03B1E0B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8CA9B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5FC4F90C"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293305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1" w:history="1">
              <w:r w:rsidR="000C2916" w:rsidRPr="00F11EE5">
                <w:rPr>
                  <w:rFonts w:ascii="Garamond" w:eastAsia="Times New Roman" w:hAnsi="Garamond" w:cs="Times New Roman"/>
                  <w:color w:val="467886"/>
                  <w:kern w:val="0"/>
                  <w:u w:val="single"/>
                  <w:lang w:val="es-PE" w:eastAsia="es-PE"/>
                  <w14:ligatures w14:val="none"/>
                </w:rPr>
                <w:t>https://acleddata.com/</w:t>
              </w:r>
            </w:hyperlink>
          </w:p>
        </w:tc>
      </w:tr>
      <w:tr w:rsidR="000C2916" w:rsidRPr="00F11EE5" w14:paraId="17D54AD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A073415"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6165F4C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1F6C4665"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2" w:history="1">
              <w:r w:rsidR="000C2916"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0C2916" w:rsidRPr="00F11EE5" w14:paraId="54AEE262"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CA4CBC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092AA1E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43920AA3"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3" w:history="1">
              <w:r w:rsidR="000C2916" w:rsidRPr="00F11EE5">
                <w:rPr>
                  <w:rFonts w:ascii="Garamond" w:eastAsia="Times New Roman" w:hAnsi="Garamond" w:cs="Times New Roman"/>
                  <w:color w:val="467886"/>
                  <w:kern w:val="0"/>
                  <w:u w:val="single"/>
                  <w:lang w:val="es-PE" w:eastAsia="es-PE"/>
                  <w14:ligatures w14:val="none"/>
                </w:rPr>
                <w:t>https://monitor.civicus.org/</w:t>
              </w:r>
            </w:hyperlink>
          </w:p>
        </w:tc>
      </w:tr>
      <w:tr w:rsidR="000C2916" w:rsidRPr="00F11EE5" w14:paraId="4DBA5549"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42FBB4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46300E9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United Nations Development Programme (UNDP)</w:t>
            </w:r>
          </w:p>
        </w:tc>
        <w:tc>
          <w:tcPr>
            <w:tcW w:w="7371" w:type="dxa"/>
            <w:tcBorders>
              <w:top w:val="nil"/>
              <w:left w:val="nil"/>
              <w:bottom w:val="nil"/>
              <w:right w:val="nil"/>
            </w:tcBorders>
            <w:shd w:val="clear" w:color="auto" w:fill="auto"/>
            <w:noWrap/>
            <w:vAlign w:val="bottom"/>
            <w:hideMark/>
          </w:tcPr>
          <w:p w14:paraId="3CACD6D4"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4" w:anchor="/indicies/HDI" w:history="1">
              <w:r w:rsidR="000C2916"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0C2916" w:rsidRPr="00F11EE5" w14:paraId="0441509A"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066BC4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00525CDF"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72C17F6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5" w:history="1">
              <w:r w:rsidR="000C2916" w:rsidRPr="00F11EE5">
                <w:rPr>
                  <w:rFonts w:ascii="Garamond" w:eastAsia="Times New Roman" w:hAnsi="Garamond" w:cs="Times New Roman"/>
                  <w:color w:val="467886"/>
                  <w:kern w:val="0"/>
                  <w:u w:val="single"/>
                  <w:lang w:eastAsia="es-PE"/>
                  <w14:ligatures w14:val="none"/>
                </w:rPr>
                <w:t>https://wbl.worldbank.org/en/wbl</w:t>
              </w:r>
            </w:hyperlink>
          </w:p>
        </w:tc>
      </w:tr>
      <w:tr w:rsidR="000C2916" w:rsidRPr="00BB3D76" w14:paraId="79C568F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8BDC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03CAB542"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Economist Intelligence Unit (EIU)</w:t>
            </w:r>
          </w:p>
        </w:tc>
        <w:tc>
          <w:tcPr>
            <w:tcW w:w="7371" w:type="dxa"/>
            <w:tcBorders>
              <w:top w:val="nil"/>
              <w:left w:val="nil"/>
              <w:bottom w:val="nil"/>
              <w:right w:val="nil"/>
            </w:tcBorders>
            <w:shd w:val="clear" w:color="auto" w:fill="auto"/>
            <w:noWrap/>
            <w:vAlign w:val="bottom"/>
            <w:hideMark/>
          </w:tcPr>
          <w:p w14:paraId="12985A1B"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6" w:history="1">
              <w:r w:rsidR="000C2916"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0C2916" w:rsidRPr="00F11EE5" w14:paraId="2F43323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2558BD8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586C7A6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54A09363"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7" w:history="1">
              <w:r w:rsidR="000C2916" w:rsidRPr="00F11EE5">
                <w:rPr>
                  <w:rFonts w:ascii="Garamond" w:eastAsia="Times New Roman" w:hAnsi="Garamond" w:cs="Times New Roman"/>
                  <w:color w:val="467886"/>
                  <w:kern w:val="0"/>
                  <w:u w:val="single"/>
                  <w:lang w:eastAsia="es-PE"/>
                  <w14:ligatures w14:val="none"/>
                </w:rPr>
                <w:t>https://esgdata.worldbank.org/?lang=en</w:t>
              </w:r>
            </w:hyperlink>
          </w:p>
        </w:tc>
      </w:tr>
      <w:tr w:rsidR="000C2916" w:rsidRPr="00F11EE5" w14:paraId="3EFAB7EE" w14:textId="77777777" w:rsidTr="00210EB1">
        <w:trPr>
          <w:trHeight w:val="300"/>
          <w:jc w:val="center"/>
        </w:trPr>
        <w:tc>
          <w:tcPr>
            <w:tcW w:w="347" w:type="dxa"/>
            <w:tcBorders>
              <w:top w:val="nil"/>
              <w:left w:val="nil"/>
              <w:bottom w:val="single" w:sz="4" w:space="0" w:color="auto"/>
              <w:right w:val="nil"/>
            </w:tcBorders>
            <w:shd w:val="clear" w:color="auto" w:fill="auto"/>
            <w:noWrap/>
            <w:vAlign w:val="bottom"/>
            <w:hideMark/>
          </w:tcPr>
          <w:p w14:paraId="3FEABF2D"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2BB4EE9A"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573247D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8" w:history="1">
              <w:r w:rsidR="000C2916"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30BD3320" w14:textId="77777777" w:rsidR="000C2916" w:rsidRDefault="000C2916" w:rsidP="00240C2C">
      <w:pPr>
        <w:spacing w:line="360" w:lineRule="auto"/>
        <w:jc w:val="both"/>
        <w:rPr>
          <w:rFonts w:ascii="Garamond" w:hAnsi="Garamond" w:cs="Times New Roman"/>
        </w:rPr>
      </w:pPr>
    </w:p>
    <w:p w14:paraId="200ADFD9" w14:textId="2BC01C28" w:rsidR="00B76D6D" w:rsidRPr="000C2916" w:rsidRDefault="000C2916" w:rsidP="000C2916">
      <w:pPr>
        <w:spacing w:line="360" w:lineRule="auto"/>
        <w:ind w:firstLine="708"/>
        <w:jc w:val="both"/>
        <w:rPr>
          <w:rFonts w:ascii="Garamond" w:hAnsi="Garamond" w:cs="Times New Roman"/>
          <w:sz w:val="20"/>
          <w:szCs w:val="20"/>
        </w:rPr>
        <w:sectPr w:rsidR="00B76D6D" w:rsidRPr="000C2916" w:rsidSect="007C0C6D">
          <w:pgSz w:w="16838" w:h="11906" w:orient="landscape"/>
          <w:pgMar w:top="1701" w:right="1418" w:bottom="1701" w:left="1418" w:header="709" w:footer="709" w:gutter="0"/>
          <w:pgNumType w:start="0"/>
          <w:cols w:space="708"/>
          <w:titlePg/>
          <w:docGrid w:linePitch="360"/>
        </w:sectPr>
      </w:pPr>
      <w:r w:rsidRPr="000C2916">
        <w:rPr>
          <w:rFonts w:ascii="Garamond" w:hAnsi="Garamond" w:cs="Times New Roman"/>
          <w:sz w:val="20"/>
          <w:szCs w:val="20"/>
        </w:rPr>
        <w:t>Source:  Own elaboration.</w:t>
      </w:r>
    </w:p>
    <w:p w14:paraId="15A6E242" w14:textId="7DC8D4FF" w:rsidR="00240C2C" w:rsidRPr="00D6369B" w:rsidRDefault="00D6369B" w:rsidP="00BE3AA2">
      <w:pPr>
        <w:spacing w:line="360" w:lineRule="auto"/>
        <w:jc w:val="both"/>
        <w:rPr>
          <w:rFonts w:ascii="Garamond" w:hAnsi="Garamond" w:cs="Times New Roman"/>
        </w:rPr>
      </w:pPr>
      <w:r w:rsidRPr="00D6369B">
        <w:rPr>
          <w:rFonts w:ascii="Garamond" w:hAnsi="Garamond" w:cs="Times New Roman"/>
        </w:rPr>
        <w:lastRenderedPageBreak/>
        <w:t>Among the eighteen data sources, the</w:t>
      </w:r>
      <w:r>
        <w:rPr>
          <w:rFonts w:ascii="Garamond" w:hAnsi="Garamond" w:cs="Times New Roman"/>
          <w:b/>
          <w:bCs/>
        </w:rPr>
        <w:t xml:space="preserve"> </w:t>
      </w:r>
      <w:r w:rsidR="00240C2C" w:rsidRPr="00BE3AA2">
        <w:rPr>
          <w:rFonts w:ascii="Garamond" w:hAnsi="Garamond" w:cs="Times New Roman"/>
          <w:b/>
          <w:bCs/>
        </w:rPr>
        <w:t>Global Monitoring Database (GMD)</w:t>
      </w:r>
      <w:r>
        <w:rPr>
          <w:rFonts w:ascii="Garamond" w:hAnsi="Garamond" w:cs="Times New Roman"/>
        </w:rPr>
        <w:t>,</w:t>
      </w:r>
      <w:r w:rsidR="00240C2C" w:rsidRPr="00BE3AA2">
        <w:rPr>
          <w:rFonts w:ascii="Garamond" w:hAnsi="Garamond" w:cs="Times New Roman"/>
        </w:rPr>
        <w:t xml:space="preserve"> </w:t>
      </w:r>
      <w:r>
        <w:rPr>
          <w:rFonts w:ascii="Garamond" w:hAnsi="Garamond" w:cs="Times New Roman"/>
        </w:rPr>
        <w:t>produced</w:t>
      </w:r>
      <w:r w:rsidR="00240C2C" w:rsidRPr="00BE3AA2">
        <w:rPr>
          <w:rFonts w:ascii="Garamond" w:hAnsi="Garamond" w:cs="Times New Roman"/>
        </w:rPr>
        <w:t xml:space="preserve"> by the World Bank,</w:t>
      </w:r>
      <w:r>
        <w:rPr>
          <w:rFonts w:ascii="Garamond" w:hAnsi="Garamond" w:cs="Times New Roman"/>
        </w:rPr>
        <w:t xml:space="preserve"> is one of the key ones for constructing indicators of social sustainability that are comparable across countries. The GMD</w:t>
      </w:r>
      <w:r w:rsidR="00240C2C" w:rsidRPr="00BE3AA2">
        <w:rPr>
          <w:rFonts w:ascii="Garamond" w:hAnsi="Garamond" w:cs="Times New Roman"/>
        </w:rPr>
        <w:t xml:space="preserve"> </w:t>
      </w:r>
      <w:r>
        <w:rPr>
          <w:rFonts w:ascii="Garamond" w:hAnsi="Garamond" w:cs="Times New Roman"/>
        </w:rPr>
        <w:t>harmonizes</w:t>
      </w:r>
      <w:r w:rsidR="00240C2C" w:rsidRPr="00BE3AA2">
        <w:rPr>
          <w:rFonts w:ascii="Garamond" w:hAnsi="Garamond" w:cs="Times New Roman"/>
        </w:rPr>
        <w:t xml:space="preserve"> multi-topic household survey</w:t>
      </w:r>
      <w:r>
        <w:rPr>
          <w:rFonts w:ascii="Garamond" w:hAnsi="Garamond" w:cs="Times New Roman"/>
        </w:rPr>
        <w:t>s</w:t>
      </w:r>
      <w:r w:rsidR="00240C2C" w:rsidRPr="00BE3AA2">
        <w:rPr>
          <w:rFonts w:ascii="Garamond" w:hAnsi="Garamond" w:cs="Times New Roman"/>
        </w:rPr>
        <w:t xml:space="preserve">, </w:t>
      </w:r>
      <w:r>
        <w:rPr>
          <w:rFonts w:ascii="Garamond" w:hAnsi="Garamond" w:cs="Times New Roman"/>
        </w:rPr>
        <w:t>such as national</w:t>
      </w:r>
      <w:r w:rsidR="00240C2C" w:rsidRPr="00BE3AA2">
        <w:rPr>
          <w:rFonts w:ascii="Garamond" w:hAnsi="Garamond" w:cs="Times New Roman"/>
        </w:rPr>
        <w:t xml:space="preserve"> household budget surveys and Living Standards Measurement Surveys, to construct a globally comparable database</w:t>
      </w:r>
      <w:r>
        <w:rPr>
          <w:rFonts w:ascii="Garamond" w:hAnsi="Garamond" w:cs="Times New Roman"/>
        </w:rPr>
        <w:t xml:space="preserve"> of </w:t>
      </w:r>
      <w:r w:rsidR="00240C2C" w:rsidRPr="00BE3AA2">
        <w:rPr>
          <w:rFonts w:ascii="Garamond" w:hAnsi="Garamond" w:cs="Times New Roman"/>
        </w:rPr>
        <w:t xml:space="preserve">harmonized </w:t>
      </w:r>
      <w:r>
        <w:rPr>
          <w:rFonts w:ascii="Garamond" w:hAnsi="Garamond" w:cs="Times New Roman"/>
        </w:rPr>
        <w:t>rates</w:t>
      </w:r>
      <w:r w:rsidR="00240C2C" w:rsidRPr="00BE3AA2">
        <w:rPr>
          <w:rFonts w:ascii="Garamond" w:hAnsi="Garamond" w:cs="Times New Roman"/>
        </w:rPr>
        <w:t xml:space="preserve"> for tracking and monitoring international poverty and shared prosperity indicators, </w:t>
      </w:r>
      <w:r>
        <w:rPr>
          <w:rFonts w:ascii="Garamond" w:hAnsi="Garamond" w:cs="Times New Roman"/>
        </w:rPr>
        <w:t xml:space="preserve">disaggregated by </w:t>
      </w:r>
      <w:r w:rsidR="00240C2C" w:rsidRPr="00BE3AA2">
        <w:rPr>
          <w:rFonts w:ascii="Garamond" w:hAnsi="Garamond" w:cs="Times New Roman"/>
        </w:rPr>
        <w:t>gender, age, empl</w:t>
      </w:r>
      <w:r w:rsidR="00240C2C" w:rsidRPr="00D6369B">
        <w:rPr>
          <w:rFonts w:ascii="Garamond" w:hAnsi="Garamond" w:cs="Times New Roman"/>
        </w:rPr>
        <w:t xml:space="preserve">oyment, </w:t>
      </w:r>
      <w:r w:rsidR="008E4316">
        <w:rPr>
          <w:rFonts w:ascii="Garamond" w:hAnsi="Garamond" w:cs="Times New Roman"/>
        </w:rPr>
        <w:t xml:space="preserve">and </w:t>
      </w:r>
      <w:r w:rsidRPr="00D6369B">
        <w:rPr>
          <w:rFonts w:ascii="Garamond" w:hAnsi="Garamond" w:cs="Times New Roman"/>
        </w:rPr>
        <w:t>location among others</w:t>
      </w:r>
      <w:r w:rsidR="00240C2C" w:rsidRPr="00D6369B">
        <w:rPr>
          <w:rFonts w:ascii="Garamond" w:hAnsi="Garamond" w:cs="Times New Roman"/>
        </w:rPr>
        <w:t>.</w:t>
      </w:r>
    </w:p>
    <w:p w14:paraId="189731F0" w14:textId="6FE148F5" w:rsidR="00D6369B" w:rsidRDefault="00D6369B" w:rsidP="00BE3AA2">
      <w:pPr>
        <w:spacing w:line="360" w:lineRule="auto"/>
        <w:jc w:val="both"/>
        <w:rPr>
          <w:rFonts w:ascii="Garamond" w:hAnsi="Garamond" w:cs="Times New Roman"/>
        </w:rPr>
      </w:pPr>
      <w:r w:rsidRPr="00D6369B">
        <w:rPr>
          <w:rFonts w:ascii="Garamond" w:hAnsi="Garamond" w:cs="Times New Roman"/>
        </w:rPr>
        <w:t xml:space="preserve">A second key source for constructing metrics of social sustainability </w:t>
      </w:r>
      <w:r w:rsidR="008E4316">
        <w:rPr>
          <w:rFonts w:ascii="Garamond" w:hAnsi="Garamond" w:cs="Times New Roman"/>
        </w:rPr>
        <w:t>is</w:t>
      </w:r>
      <w:r w:rsidRPr="00D6369B">
        <w:rPr>
          <w:rFonts w:ascii="Garamond" w:hAnsi="Garamond" w:cs="Times New Roman"/>
        </w:rPr>
        <w:t xml:space="preserve"> social barometers that collect information about </w:t>
      </w:r>
      <w:r w:rsidR="008E4316">
        <w:rPr>
          <w:rFonts w:ascii="Garamond" w:hAnsi="Garamond" w:cs="Times New Roman"/>
        </w:rPr>
        <w:t xml:space="preserve">the </w:t>
      </w:r>
      <w:r w:rsidRPr="00D6369B">
        <w:rPr>
          <w:rFonts w:ascii="Garamond" w:hAnsi="Garamond" w:cs="Times New Roman"/>
        </w:rPr>
        <w:t>attitudes and values of people</w:t>
      </w:r>
      <w:r>
        <w:rPr>
          <w:rFonts w:ascii="Garamond" w:hAnsi="Garamond" w:cs="Times New Roman"/>
        </w:rPr>
        <w:t xml:space="preserve"> by region</w:t>
      </w:r>
      <w:r w:rsidRPr="00D6369B">
        <w:rPr>
          <w:rFonts w:ascii="Garamond" w:hAnsi="Garamond" w:cs="Times New Roman"/>
        </w:rPr>
        <w:t>.</w:t>
      </w:r>
      <w:r>
        <w:rPr>
          <w:rFonts w:ascii="Garamond" w:hAnsi="Garamond" w:cs="Times New Roman"/>
        </w:rPr>
        <w:t xml:space="preserve"> Among these, we have </w:t>
      </w:r>
      <w:r w:rsidR="00240C2C" w:rsidRPr="00BE3AA2">
        <w:rPr>
          <w:rFonts w:ascii="Garamond" w:hAnsi="Garamond" w:cs="Times New Roman"/>
          <w:b/>
          <w:bCs/>
        </w:rPr>
        <w:t>Afrobarometer (AF)</w:t>
      </w:r>
      <w:r>
        <w:rPr>
          <w:rFonts w:ascii="Garamond" w:hAnsi="Garamond" w:cs="Times New Roman"/>
          <w:b/>
          <w:bCs/>
        </w:rPr>
        <w:t>, Arab Barometer (AB), Asian Barometer (ASB), and Latinobarometro (LB). These barometers collect the experiences and public opinions of adult citizens</w:t>
      </w:r>
      <w:r w:rsidR="00FD4B86">
        <w:rPr>
          <w:rStyle w:val="FootnoteReference"/>
          <w:rFonts w:ascii="Garamond" w:hAnsi="Garamond" w:cs="Times New Roman"/>
          <w:b/>
          <w:bCs/>
        </w:rPr>
        <w:footnoteReference w:id="1"/>
      </w:r>
      <w:r w:rsidR="00FD4B86">
        <w:rPr>
          <w:rFonts w:ascii="Garamond" w:hAnsi="Garamond" w:cs="Times New Roman"/>
          <w:b/>
          <w:bCs/>
        </w:rPr>
        <w:t xml:space="preserve"> </w:t>
      </w:r>
      <w:r>
        <w:rPr>
          <w:rFonts w:ascii="Garamond" w:hAnsi="Garamond" w:cs="Times New Roman"/>
          <w:b/>
          <w:bCs/>
        </w:rPr>
        <w:t>on</w:t>
      </w:r>
      <w:r w:rsidR="00240C2C" w:rsidRPr="00BE3AA2">
        <w:rPr>
          <w:rFonts w:ascii="Garamond" w:hAnsi="Garamond" w:cs="Times New Roman"/>
        </w:rPr>
        <w:t xml:space="preserve"> democracy, governance</w:t>
      </w:r>
      <w:r w:rsidR="00FD4B86">
        <w:rPr>
          <w:rFonts w:ascii="Garamond" w:hAnsi="Garamond" w:cs="Times New Roman"/>
        </w:rPr>
        <w:t xml:space="preserve"> and politics</w:t>
      </w:r>
      <w:r w:rsidR="00240C2C" w:rsidRPr="00BE3AA2">
        <w:rPr>
          <w:rFonts w:ascii="Garamond" w:hAnsi="Garamond" w:cs="Times New Roman"/>
        </w:rPr>
        <w:t>, econom</w:t>
      </w:r>
      <w:r w:rsidR="00FD4B86">
        <w:rPr>
          <w:rFonts w:ascii="Garamond" w:hAnsi="Garamond" w:cs="Times New Roman"/>
        </w:rPr>
        <w:t>ic issues</w:t>
      </w:r>
      <w:r w:rsidR="00240C2C" w:rsidRPr="00BE3AA2">
        <w:rPr>
          <w:rFonts w:ascii="Garamond" w:hAnsi="Garamond" w:cs="Times New Roman"/>
        </w:rPr>
        <w:t>,</w:t>
      </w:r>
      <w:r w:rsidR="00FD4B86">
        <w:rPr>
          <w:rFonts w:ascii="Garamond" w:hAnsi="Garamond" w:cs="Times New Roman"/>
        </w:rPr>
        <w:t xml:space="preserve"> cultural and religious beliefs,</w:t>
      </w:r>
      <w:r w:rsidR="00240C2C" w:rsidRPr="00BE3AA2">
        <w:rPr>
          <w:rFonts w:ascii="Garamond" w:hAnsi="Garamond" w:cs="Times New Roman"/>
        </w:rPr>
        <w:t xml:space="preserve"> </w:t>
      </w:r>
      <w:r w:rsidR="00FD4B86">
        <w:rPr>
          <w:rFonts w:ascii="Garamond" w:hAnsi="Garamond" w:cs="Times New Roman"/>
        </w:rPr>
        <w:t>attitudes towards i</w:t>
      </w:r>
      <w:r w:rsidR="008E4316">
        <w:rPr>
          <w:rFonts w:ascii="Garamond" w:hAnsi="Garamond" w:cs="Times New Roman"/>
        </w:rPr>
        <w:t>m</w:t>
      </w:r>
      <w:r w:rsidR="00FD4B86">
        <w:rPr>
          <w:rFonts w:ascii="Garamond" w:hAnsi="Garamond" w:cs="Times New Roman"/>
        </w:rPr>
        <w:t>migration and ethnic diversity, gender equality,</w:t>
      </w:r>
      <w:r w:rsidR="0044637B">
        <w:rPr>
          <w:rFonts w:ascii="Garamond" w:hAnsi="Garamond" w:cs="Times New Roman"/>
        </w:rPr>
        <w:t xml:space="preserve"> trust,</w:t>
      </w:r>
      <w:r w:rsidR="00FD4B86">
        <w:rPr>
          <w:rFonts w:ascii="Garamond" w:hAnsi="Garamond" w:cs="Times New Roman"/>
        </w:rPr>
        <w:t xml:space="preserve"> </w:t>
      </w:r>
      <w:r w:rsidR="00240C2C" w:rsidRPr="00BE3AA2">
        <w:rPr>
          <w:rFonts w:ascii="Garamond" w:hAnsi="Garamond" w:cs="Times New Roman"/>
        </w:rPr>
        <w:t>soci</w:t>
      </w:r>
      <w:r w:rsidR="00FD4B86">
        <w:rPr>
          <w:rFonts w:ascii="Garamond" w:hAnsi="Garamond" w:cs="Times New Roman"/>
        </w:rPr>
        <w:t>al issues such as</w:t>
      </w:r>
      <w:r w:rsidR="0044637B">
        <w:rPr>
          <w:rFonts w:ascii="Garamond" w:hAnsi="Garamond" w:cs="Times New Roman"/>
        </w:rPr>
        <w:t xml:space="preserve"> </w:t>
      </w:r>
      <w:r w:rsidR="00FD4B86">
        <w:rPr>
          <w:rFonts w:ascii="Garamond" w:hAnsi="Garamond" w:cs="Times New Roman"/>
        </w:rPr>
        <w:t>crime and security, and international relations and globalization</w:t>
      </w:r>
      <w:r w:rsidR="00240C2C" w:rsidRPr="00BE3AA2">
        <w:rPr>
          <w:rFonts w:ascii="Garamond" w:hAnsi="Garamond" w:cs="Times New Roman"/>
        </w:rPr>
        <w:t xml:space="preserve">, aiming to give </w:t>
      </w:r>
      <w:r>
        <w:rPr>
          <w:rFonts w:ascii="Garamond" w:hAnsi="Garamond" w:cs="Times New Roman"/>
        </w:rPr>
        <w:t>citizens</w:t>
      </w:r>
      <w:r w:rsidR="00240C2C" w:rsidRPr="00BE3AA2">
        <w:rPr>
          <w:rFonts w:ascii="Garamond" w:hAnsi="Garamond" w:cs="Times New Roman"/>
        </w:rPr>
        <w:t xml:space="preserve"> a voice in policymaking</w:t>
      </w:r>
      <w:r>
        <w:rPr>
          <w:rFonts w:ascii="Garamond" w:hAnsi="Garamond" w:cs="Times New Roman"/>
        </w:rPr>
        <w:t xml:space="preserve"> monitoring, analyzing social trends and promoting </w:t>
      </w:r>
      <w:r w:rsidRPr="00D6369B">
        <w:rPr>
          <w:rFonts w:ascii="Garamond" w:hAnsi="Garamond" w:cs="Times New Roman"/>
        </w:rPr>
        <w:t>the global dialogue on democratic governance and societal change</w:t>
      </w:r>
      <w:r w:rsidR="00240C2C" w:rsidRPr="00BE3AA2">
        <w:rPr>
          <w:rFonts w:ascii="Garamond" w:hAnsi="Garamond" w:cs="Times New Roman"/>
        </w:rPr>
        <w:t>.</w:t>
      </w:r>
      <w:r>
        <w:rPr>
          <w:rFonts w:ascii="Garamond" w:hAnsi="Garamond" w:cs="Times New Roman"/>
        </w:rPr>
        <w:t xml:space="preserve"> Barometers include a sample size ranging from 1</w:t>
      </w:r>
      <w:r w:rsidR="00FD4B86">
        <w:rPr>
          <w:rFonts w:ascii="Garamond" w:hAnsi="Garamond" w:cs="Times New Roman"/>
        </w:rPr>
        <w:t>0</w:t>
      </w:r>
      <w:r>
        <w:rPr>
          <w:rFonts w:ascii="Garamond" w:hAnsi="Garamond" w:cs="Times New Roman"/>
        </w:rPr>
        <w:t xml:space="preserve">00 to </w:t>
      </w:r>
      <w:r w:rsidR="00FD4B86">
        <w:rPr>
          <w:rFonts w:ascii="Garamond" w:hAnsi="Garamond" w:cs="Times New Roman"/>
        </w:rPr>
        <w:t>nearly 24</w:t>
      </w:r>
      <w:r>
        <w:rPr>
          <w:rFonts w:ascii="Garamond" w:hAnsi="Garamond" w:cs="Times New Roman"/>
        </w:rPr>
        <w:t xml:space="preserve">00 interviewees </w:t>
      </w:r>
      <w:r w:rsidR="00FD4B86">
        <w:rPr>
          <w:rFonts w:ascii="Garamond" w:hAnsi="Garamond" w:cs="Times New Roman"/>
        </w:rPr>
        <w:t>for most countries</w:t>
      </w:r>
      <w:r w:rsidR="00FD4B86">
        <w:rPr>
          <w:rStyle w:val="FootnoteReference"/>
          <w:rFonts w:ascii="Garamond" w:hAnsi="Garamond" w:cs="Times New Roman"/>
        </w:rPr>
        <w:footnoteReference w:id="2"/>
      </w:r>
      <w:r>
        <w:rPr>
          <w:rFonts w:ascii="Garamond" w:hAnsi="Garamond" w:cs="Times New Roman"/>
        </w:rPr>
        <w:t xml:space="preserve"> and are </w:t>
      </w:r>
      <w:r w:rsidR="00FD4B86">
        <w:rPr>
          <w:rFonts w:ascii="Garamond" w:hAnsi="Garamond" w:cs="Times New Roman"/>
        </w:rPr>
        <w:t>representative at the national and sub</w:t>
      </w:r>
      <w:r w:rsidR="008E4316">
        <w:rPr>
          <w:rFonts w:ascii="Garamond" w:hAnsi="Garamond" w:cs="Times New Roman"/>
        </w:rPr>
        <w:t>-</w:t>
      </w:r>
      <w:r w:rsidR="00FD4B86">
        <w:rPr>
          <w:rFonts w:ascii="Garamond" w:hAnsi="Garamond" w:cs="Times New Roman"/>
        </w:rPr>
        <w:t>national level</w:t>
      </w:r>
      <w:r w:rsidR="008E4316">
        <w:rPr>
          <w:rFonts w:ascii="Garamond" w:hAnsi="Garamond" w:cs="Times New Roman"/>
        </w:rPr>
        <w:t>s</w:t>
      </w:r>
      <w:r>
        <w:rPr>
          <w:rFonts w:ascii="Garamond" w:hAnsi="Garamond" w:cs="Times New Roman"/>
        </w:rPr>
        <w:t xml:space="preserve">. </w:t>
      </w:r>
    </w:p>
    <w:p w14:paraId="5BED18AD" w14:textId="34455149" w:rsidR="00D6369B" w:rsidRDefault="00D6369B" w:rsidP="00D6369B">
      <w:pPr>
        <w:spacing w:line="360" w:lineRule="auto"/>
        <w:jc w:val="both"/>
        <w:rPr>
          <w:rFonts w:ascii="Garamond" w:hAnsi="Garamond" w:cs="Times New Roman"/>
        </w:rPr>
      </w:pPr>
      <w:r>
        <w:rPr>
          <w:rFonts w:ascii="Garamond" w:hAnsi="Garamond" w:cs="Times New Roman"/>
        </w:rPr>
        <w:t xml:space="preserve">Like barometers, the </w:t>
      </w:r>
      <w:r w:rsidRPr="00D6369B">
        <w:rPr>
          <w:rFonts w:ascii="Garamond" w:hAnsi="Garamond" w:cs="Times New Roman"/>
          <w:b/>
          <w:bCs/>
        </w:rPr>
        <w:t>World Values Survey</w:t>
      </w:r>
      <w:r>
        <w:rPr>
          <w:rFonts w:ascii="Garamond" w:hAnsi="Garamond" w:cs="Times New Roman"/>
          <w:b/>
          <w:bCs/>
        </w:rPr>
        <w:t xml:space="preserve"> (WVS)</w:t>
      </w:r>
      <w:r>
        <w:rPr>
          <w:rFonts w:ascii="Garamond" w:hAnsi="Garamond" w:cs="Times New Roman"/>
        </w:rPr>
        <w:t xml:space="preserve"> and the </w:t>
      </w:r>
      <w:r w:rsidRPr="00D6369B">
        <w:rPr>
          <w:rFonts w:ascii="Garamond" w:hAnsi="Garamond" w:cs="Times New Roman"/>
          <w:b/>
          <w:bCs/>
        </w:rPr>
        <w:t>European Values Study</w:t>
      </w:r>
      <w:r>
        <w:rPr>
          <w:rFonts w:ascii="Garamond" w:hAnsi="Garamond" w:cs="Times New Roman"/>
          <w:b/>
          <w:bCs/>
        </w:rPr>
        <w:t xml:space="preserve"> (EVS)</w:t>
      </w:r>
      <w:r>
        <w:rPr>
          <w:rFonts w:ascii="Garamond" w:hAnsi="Garamond" w:cs="Times New Roman"/>
        </w:rPr>
        <w:t xml:space="preserve"> provide a rich source of data for constructing social sustainability indicators. The </w:t>
      </w:r>
      <w:r w:rsidR="00240C2C" w:rsidRPr="00D6369B">
        <w:rPr>
          <w:rFonts w:ascii="Garamond" w:hAnsi="Garamond" w:cs="Times New Roman"/>
        </w:rPr>
        <w:t>World Values Survey</w:t>
      </w:r>
      <w:r>
        <w:rPr>
          <w:rFonts w:ascii="Garamond" w:hAnsi="Garamond" w:cs="Times New Roman"/>
        </w:rPr>
        <w:t xml:space="preserve"> is</w:t>
      </w:r>
      <w:r w:rsidRPr="00BE3AA2">
        <w:rPr>
          <w:rFonts w:ascii="Garamond" w:hAnsi="Garamond" w:cs="Times New Roman"/>
        </w:rPr>
        <w:t xml:space="preserve"> a global initiative </w:t>
      </w:r>
      <w:r>
        <w:rPr>
          <w:rFonts w:ascii="Garamond" w:hAnsi="Garamond" w:cs="Times New Roman"/>
        </w:rPr>
        <w:t>that</w:t>
      </w:r>
      <w:r w:rsidRPr="00D6369B">
        <w:rPr>
          <w:rFonts w:ascii="Garamond" w:hAnsi="Garamond" w:cs="Times New Roman"/>
        </w:rPr>
        <w:t xml:space="preserve"> measures, monitors</w:t>
      </w:r>
      <w:r w:rsidR="008E4316">
        <w:rPr>
          <w:rFonts w:ascii="Garamond" w:hAnsi="Garamond" w:cs="Times New Roman"/>
        </w:rPr>
        <w:t>,</w:t>
      </w:r>
      <w:r w:rsidRPr="00D6369B">
        <w:rPr>
          <w:rFonts w:ascii="Garamond" w:hAnsi="Garamond" w:cs="Times New Roman"/>
        </w:rPr>
        <w:t xml:space="preserve"> and analyzes</w:t>
      </w:r>
      <w:r>
        <w:rPr>
          <w:rFonts w:ascii="Garamond" w:hAnsi="Garamond" w:cs="Times New Roman"/>
        </w:rPr>
        <w:t xml:space="preserve"> aspects such as</w:t>
      </w:r>
      <w:r w:rsidRPr="00D6369B">
        <w:rPr>
          <w:rFonts w:ascii="Garamond" w:hAnsi="Garamond" w:cs="Times New Roman"/>
        </w:rPr>
        <w:t xml:space="preserve"> support for democracy, </w:t>
      </w:r>
      <w:r w:rsidR="0044637B">
        <w:rPr>
          <w:rFonts w:ascii="Garamond" w:hAnsi="Garamond" w:cs="Times New Roman"/>
        </w:rPr>
        <w:t xml:space="preserve">political participation, trust, economic issues, </w:t>
      </w:r>
      <w:r w:rsidRPr="00D6369B">
        <w:rPr>
          <w:rFonts w:ascii="Garamond" w:hAnsi="Garamond" w:cs="Times New Roman"/>
        </w:rPr>
        <w:t>tolerance of foreigners and ethnic minorities, support for gender equality, the role of religion</w:t>
      </w:r>
      <w:r w:rsidR="008E4316">
        <w:rPr>
          <w:rFonts w:ascii="Garamond" w:hAnsi="Garamond" w:cs="Times New Roman"/>
        </w:rPr>
        <w:t>,</w:t>
      </w:r>
      <w:r w:rsidRPr="00D6369B">
        <w:rPr>
          <w:rFonts w:ascii="Garamond" w:hAnsi="Garamond" w:cs="Times New Roman"/>
        </w:rPr>
        <w:t xml:space="preserve"> and changing levels of religiosity, the impact of globalization, attitudes toward the environment, work, family, politics, national identity, culture, diversity, insecurity, and subjective well-being.</w:t>
      </w:r>
      <w:r>
        <w:rPr>
          <w:rFonts w:ascii="Garamond" w:hAnsi="Garamond" w:cs="Times New Roman"/>
        </w:rPr>
        <w:t xml:space="preserve"> </w:t>
      </w:r>
      <w:r w:rsidR="00480C7C">
        <w:rPr>
          <w:rFonts w:ascii="Garamond" w:hAnsi="Garamond" w:cs="Times New Roman"/>
        </w:rPr>
        <w:t>On the other hand, t</w:t>
      </w:r>
      <w:r>
        <w:rPr>
          <w:rFonts w:ascii="Garamond" w:hAnsi="Garamond" w:cs="Times New Roman"/>
        </w:rPr>
        <w:t>he European Value Study collects information about</w:t>
      </w:r>
      <w:r w:rsidR="0044637B">
        <w:rPr>
          <w:rFonts w:ascii="Garamond" w:hAnsi="Garamond" w:cs="Times New Roman"/>
        </w:rPr>
        <w:t xml:space="preserve"> politics and governance, economic issues, religion and morality, </w:t>
      </w:r>
      <w:r w:rsidRPr="00BE3AA2">
        <w:rPr>
          <w:rFonts w:ascii="Garamond" w:hAnsi="Garamond" w:cs="Times New Roman"/>
        </w:rPr>
        <w:t>attitudes</w:t>
      </w:r>
      <w:r w:rsidR="0044637B">
        <w:rPr>
          <w:rFonts w:ascii="Garamond" w:hAnsi="Garamond" w:cs="Times New Roman"/>
        </w:rPr>
        <w:t xml:space="preserve"> towards refugees, immigrants</w:t>
      </w:r>
      <w:r w:rsidRPr="00BE3AA2">
        <w:rPr>
          <w:rFonts w:ascii="Garamond" w:hAnsi="Garamond" w:cs="Times New Roman"/>
        </w:rPr>
        <w:t>,</w:t>
      </w:r>
      <w:r w:rsidR="0044637B">
        <w:rPr>
          <w:rFonts w:ascii="Garamond" w:hAnsi="Garamond" w:cs="Times New Roman"/>
        </w:rPr>
        <w:t xml:space="preserve"> and racial/ethnic minorities, views on gender roles, perceptions of social justice,</w:t>
      </w:r>
      <w:r w:rsidR="00480C7C">
        <w:rPr>
          <w:rFonts w:ascii="Garamond" w:hAnsi="Garamond" w:cs="Times New Roman"/>
        </w:rPr>
        <w:t xml:space="preserve"> globalization</w:t>
      </w:r>
      <w:r w:rsidR="008E4316">
        <w:rPr>
          <w:rFonts w:ascii="Garamond" w:hAnsi="Garamond" w:cs="Times New Roman"/>
        </w:rPr>
        <w:t>,</w:t>
      </w:r>
      <w:r w:rsidRPr="00BE3AA2">
        <w:rPr>
          <w:rFonts w:ascii="Garamond" w:hAnsi="Garamond" w:cs="Times New Roman"/>
        </w:rPr>
        <w:t xml:space="preserve"> and </w:t>
      </w:r>
      <w:r w:rsidR="008E4316">
        <w:rPr>
          <w:rFonts w:ascii="Garamond" w:hAnsi="Garamond" w:cs="Times New Roman"/>
        </w:rPr>
        <w:t xml:space="preserve">the </w:t>
      </w:r>
      <w:r w:rsidR="00480C7C">
        <w:rPr>
          <w:rFonts w:ascii="Garamond" w:hAnsi="Garamond" w:cs="Times New Roman"/>
        </w:rPr>
        <w:t>national identity</w:t>
      </w:r>
      <w:r w:rsidRPr="00BE3AA2">
        <w:rPr>
          <w:rFonts w:ascii="Garamond" w:hAnsi="Garamond" w:cs="Times New Roman"/>
        </w:rPr>
        <w:t xml:space="preserve"> of European citizens.</w:t>
      </w:r>
      <w:r>
        <w:rPr>
          <w:rFonts w:ascii="Garamond" w:hAnsi="Garamond" w:cs="Times New Roman"/>
        </w:rPr>
        <w:t xml:space="preserve"> Both surveys</w:t>
      </w:r>
      <w:r w:rsidR="006566D7">
        <w:rPr>
          <w:rFonts w:ascii="Garamond" w:hAnsi="Garamond" w:cs="Times New Roman"/>
        </w:rPr>
        <w:t xml:space="preserve"> are oriented </w:t>
      </w:r>
      <w:r w:rsidR="008E4316">
        <w:rPr>
          <w:rFonts w:ascii="Garamond" w:hAnsi="Garamond" w:cs="Times New Roman"/>
        </w:rPr>
        <w:t>toward</w:t>
      </w:r>
      <w:r w:rsidR="006566D7">
        <w:rPr>
          <w:rFonts w:ascii="Garamond" w:hAnsi="Garamond" w:cs="Times New Roman"/>
        </w:rPr>
        <w:t xml:space="preserve"> adult citizens aged 18+,</w:t>
      </w:r>
      <w:r>
        <w:rPr>
          <w:rFonts w:ascii="Garamond" w:hAnsi="Garamond" w:cs="Times New Roman"/>
        </w:rPr>
        <w:t xml:space="preserve"> </w:t>
      </w:r>
      <w:r w:rsidR="006566D7">
        <w:rPr>
          <w:rFonts w:ascii="Garamond" w:hAnsi="Garamond" w:cs="Times New Roman"/>
        </w:rPr>
        <w:t>provide national and subnational representation,</w:t>
      </w:r>
      <w:r>
        <w:rPr>
          <w:rFonts w:ascii="Garamond" w:hAnsi="Garamond" w:cs="Times New Roman"/>
        </w:rPr>
        <w:t xml:space="preserve"> and include </w:t>
      </w:r>
      <w:r w:rsidR="00480C7C">
        <w:rPr>
          <w:rFonts w:ascii="Garamond" w:hAnsi="Garamond" w:cs="Times New Roman"/>
        </w:rPr>
        <w:t>around</w:t>
      </w:r>
      <w:r>
        <w:rPr>
          <w:rFonts w:ascii="Garamond" w:hAnsi="Garamond" w:cs="Times New Roman"/>
        </w:rPr>
        <w:t xml:space="preserve"> </w:t>
      </w:r>
      <w:r w:rsidR="00480C7C">
        <w:rPr>
          <w:rFonts w:ascii="Garamond" w:hAnsi="Garamond" w:cs="Times New Roman"/>
        </w:rPr>
        <w:t>1200</w:t>
      </w:r>
      <w:r>
        <w:rPr>
          <w:rFonts w:ascii="Garamond" w:hAnsi="Garamond" w:cs="Times New Roman"/>
        </w:rPr>
        <w:t xml:space="preserve"> people surveyed </w:t>
      </w:r>
      <w:r w:rsidR="006566D7">
        <w:rPr>
          <w:rFonts w:ascii="Garamond" w:hAnsi="Garamond" w:cs="Times New Roman"/>
        </w:rPr>
        <w:t>for most</w:t>
      </w:r>
      <w:r>
        <w:rPr>
          <w:rFonts w:ascii="Garamond" w:hAnsi="Garamond" w:cs="Times New Roman"/>
        </w:rPr>
        <w:t xml:space="preserve"> countr</w:t>
      </w:r>
      <w:r w:rsidR="006566D7">
        <w:rPr>
          <w:rFonts w:ascii="Garamond" w:hAnsi="Garamond" w:cs="Times New Roman"/>
        </w:rPr>
        <w:t>ies</w:t>
      </w:r>
      <w:r w:rsidR="006566D7">
        <w:rPr>
          <w:rStyle w:val="FootnoteReference"/>
          <w:rFonts w:ascii="Garamond" w:hAnsi="Garamond" w:cs="Times New Roman"/>
        </w:rPr>
        <w:footnoteReference w:id="3"/>
      </w:r>
      <w:r>
        <w:rPr>
          <w:rFonts w:ascii="Garamond" w:hAnsi="Garamond" w:cs="Times New Roman"/>
        </w:rPr>
        <w:t>.</w:t>
      </w:r>
    </w:p>
    <w:p w14:paraId="57363BC1" w14:textId="624C2DC4" w:rsidR="00FB4F33" w:rsidRDefault="00D6369B" w:rsidP="00BE3AA2">
      <w:pPr>
        <w:spacing w:line="360" w:lineRule="auto"/>
        <w:jc w:val="both"/>
        <w:rPr>
          <w:rFonts w:ascii="Garamond" w:hAnsi="Garamond" w:cs="Times New Roman"/>
        </w:rPr>
      </w:pPr>
      <w:r w:rsidRPr="00D6369B">
        <w:rPr>
          <w:rFonts w:ascii="Garamond" w:hAnsi="Garamond" w:cs="Times New Roman"/>
        </w:rPr>
        <w:t xml:space="preserve">A fourth key data source </w:t>
      </w:r>
      <w:r w:rsidR="008E4316">
        <w:rPr>
          <w:rFonts w:ascii="Garamond" w:hAnsi="Garamond" w:cs="Times New Roman"/>
        </w:rPr>
        <w:t>is</w:t>
      </w:r>
      <w:r w:rsidRPr="00D6369B">
        <w:rPr>
          <w:rFonts w:ascii="Garamond" w:hAnsi="Garamond" w:cs="Times New Roman"/>
        </w:rPr>
        <w:t xml:space="preserve"> nationally available data on governance, rule of law, conflict, economic development, financial inclusion, civic space, human development, women, business, and the law, democracy, environmental and social governance, </w:t>
      </w:r>
      <w:r w:rsidR="008E4316">
        <w:rPr>
          <w:rFonts w:ascii="Garamond" w:hAnsi="Garamond" w:cs="Times New Roman"/>
        </w:rPr>
        <w:t xml:space="preserve">and </w:t>
      </w:r>
      <w:r w:rsidRPr="00D6369B">
        <w:rPr>
          <w:rFonts w:ascii="Garamond" w:hAnsi="Garamond" w:cs="Times New Roman"/>
        </w:rPr>
        <w:t>equality of opportunity for sexual and gender minorities. The</w:t>
      </w:r>
      <w:r>
        <w:rPr>
          <w:rFonts w:ascii="Garamond" w:hAnsi="Garamond" w:cs="Times New Roman"/>
          <w:b/>
          <w:bCs/>
        </w:rPr>
        <w:t xml:space="preserve"> World Justice Project (WJP) </w:t>
      </w:r>
      <w:r w:rsidRPr="00D6369B">
        <w:rPr>
          <w:rFonts w:ascii="Garamond" w:hAnsi="Garamond" w:cs="Times New Roman"/>
        </w:rPr>
        <w:t xml:space="preserve">provides information on the Rule of Law worldwide, </w:t>
      </w:r>
      <w:r w:rsidRPr="00D6369B">
        <w:rPr>
          <w:rFonts w:ascii="Garamond" w:hAnsi="Garamond" w:cs="Times New Roman"/>
        </w:rPr>
        <w:lastRenderedPageBreak/>
        <w:t>emphasizing its role in ensuring justice, economic opportunity, and respect for fundamental rights</w:t>
      </w:r>
      <w:r>
        <w:rPr>
          <w:rFonts w:ascii="Garamond" w:hAnsi="Garamond" w:cs="Times New Roman"/>
        </w:rPr>
        <w:t xml:space="preserve">. The </w:t>
      </w:r>
      <w:r w:rsidRPr="00BE3AA2">
        <w:rPr>
          <w:rFonts w:ascii="Garamond" w:hAnsi="Garamond" w:cs="Times New Roman"/>
          <w:b/>
          <w:bCs/>
        </w:rPr>
        <w:t>Worldwide Governance Indicators (WGI)</w:t>
      </w:r>
      <w:r>
        <w:rPr>
          <w:rFonts w:ascii="Garamond" w:hAnsi="Garamond" w:cs="Times New Roman"/>
          <w:b/>
          <w:bCs/>
        </w:rPr>
        <w:t xml:space="preserve"> </w:t>
      </w:r>
      <w:r w:rsidRPr="00D6369B">
        <w:rPr>
          <w:rFonts w:ascii="Garamond" w:hAnsi="Garamond" w:cs="Times New Roman"/>
        </w:rPr>
        <w:t>compiles data from a variety of sources to provide comprehensive assessments of governance quality globally.</w:t>
      </w:r>
      <w:r w:rsidR="00D6501E">
        <w:rPr>
          <w:rFonts w:ascii="Garamond" w:hAnsi="Garamond" w:cs="Times New Roman"/>
        </w:rPr>
        <w:t xml:space="preserve"> The </w:t>
      </w:r>
      <w:r w:rsidR="00D6501E">
        <w:rPr>
          <w:rFonts w:ascii="Garamond" w:hAnsi="Garamond" w:cs="Times New Roman"/>
          <w:b/>
          <w:bCs/>
        </w:rPr>
        <w:t>World Development Indicators (WDI)</w:t>
      </w:r>
      <w:r w:rsidR="00D6501E" w:rsidRPr="00D6501E">
        <w:rPr>
          <w:rFonts w:ascii="Garamond" w:hAnsi="Garamond"/>
        </w:rPr>
        <w:t xml:space="preserve"> </w:t>
      </w:r>
      <w:r w:rsidR="00D6501E" w:rsidRPr="00D6501E">
        <w:rPr>
          <w:rFonts w:ascii="Garamond" w:hAnsi="Garamond" w:cs="Times New Roman"/>
        </w:rPr>
        <w:t xml:space="preserve">is a comprehensive database maintained by the </w:t>
      </w:r>
      <w:r w:rsidR="00D6501E">
        <w:rPr>
          <w:rFonts w:ascii="Garamond" w:hAnsi="Garamond" w:cs="Times New Roman"/>
        </w:rPr>
        <w:t>WBG</w:t>
      </w:r>
      <w:r w:rsidR="00D6501E" w:rsidRPr="00D6501E">
        <w:rPr>
          <w:rFonts w:ascii="Garamond" w:hAnsi="Garamond" w:cs="Times New Roman"/>
        </w:rPr>
        <w:t xml:space="preserve"> that provides a detailed and wide-ranging set of data on various aspects of global development</w:t>
      </w:r>
      <w:r w:rsidR="006566D7">
        <w:rPr>
          <w:rFonts w:ascii="Garamond" w:hAnsi="Garamond" w:cs="Times New Roman"/>
        </w:rPr>
        <w:t xml:space="preserve">. The </w:t>
      </w:r>
      <w:r w:rsidR="006566D7" w:rsidRPr="00BE3AA2">
        <w:rPr>
          <w:rFonts w:ascii="Garamond" w:hAnsi="Garamond" w:cs="Times New Roman"/>
          <w:b/>
          <w:bCs/>
        </w:rPr>
        <w:t>Armed Conflict Location &amp; Event Data Project (ACLED)</w:t>
      </w:r>
      <w:r w:rsidR="006566D7">
        <w:rPr>
          <w:rFonts w:ascii="Garamond" w:hAnsi="Garamond" w:cs="Times New Roman"/>
        </w:rPr>
        <w:t xml:space="preserve"> </w:t>
      </w:r>
      <w:r w:rsidR="006566D7" w:rsidRPr="00BE3AA2">
        <w:rPr>
          <w:rFonts w:ascii="Garamond" w:hAnsi="Garamond" w:cs="Times New Roman"/>
        </w:rPr>
        <w:t>provides detailed, real-time data on political violence and protests worldwide.</w:t>
      </w:r>
      <w:r w:rsidR="006566D7">
        <w:rPr>
          <w:rFonts w:ascii="Garamond" w:hAnsi="Garamond" w:cs="Times New Roman"/>
        </w:rPr>
        <w:t xml:space="preserve"> The </w:t>
      </w:r>
      <w:r w:rsidR="006566D7" w:rsidRPr="00BE3AA2">
        <w:rPr>
          <w:rFonts w:ascii="Garamond" w:hAnsi="Garamond" w:cs="Times New Roman"/>
          <w:b/>
          <w:bCs/>
        </w:rPr>
        <w:t>Global Findex Database (FINDEX)</w:t>
      </w:r>
      <w:r w:rsidR="006566D7">
        <w:rPr>
          <w:rFonts w:ascii="Garamond" w:hAnsi="Garamond" w:cs="Times New Roman"/>
        </w:rPr>
        <w:t xml:space="preserve">, developed by the WBG, provides </w:t>
      </w:r>
      <w:r w:rsidR="006566D7" w:rsidRPr="00BE3AA2">
        <w:rPr>
          <w:rFonts w:ascii="Garamond" w:hAnsi="Garamond" w:cs="Times New Roman"/>
        </w:rPr>
        <w:t>data on global access to financial services, digital payments, and the behaviors fostering financial resilience</w:t>
      </w:r>
      <w:r w:rsidR="006566D7">
        <w:rPr>
          <w:rFonts w:ascii="Garamond" w:hAnsi="Garamond" w:cs="Times New Roman"/>
        </w:rPr>
        <w:t xml:space="preserve">. </w:t>
      </w:r>
      <w:r w:rsidR="00FB4F33">
        <w:rPr>
          <w:rFonts w:ascii="Garamond" w:hAnsi="Garamond" w:cs="Times New Roman"/>
        </w:rPr>
        <w:t xml:space="preserve">The </w:t>
      </w:r>
      <w:r w:rsidR="00FB4F33" w:rsidRPr="00BE3AA2">
        <w:rPr>
          <w:rFonts w:ascii="Garamond" w:hAnsi="Garamond" w:cs="Times New Roman"/>
          <w:b/>
          <w:bCs/>
        </w:rPr>
        <w:t>CIVICUS Monitor (CIVICUS)</w:t>
      </w:r>
      <w:r w:rsidR="00FB4F33">
        <w:rPr>
          <w:rFonts w:ascii="Garamond" w:hAnsi="Garamond" w:cs="Times New Roman"/>
        </w:rPr>
        <w:t xml:space="preserve"> </w:t>
      </w:r>
      <w:r w:rsidR="00FB4F33" w:rsidRPr="00BE3AA2">
        <w:rPr>
          <w:rFonts w:ascii="Garamond" w:hAnsi="Garamond" w:cs="Times New Roman"/>
        </w:rPr>
        <w:t>offers near-real-time data on the health of civil society and civic freedoms in 196 countries</w:t>
      </w:r>
      <w:r w:rsidR="00FB4F33">
        <w:rPr>
          <w:rFonts w:ascii="Garamond" w:hAnsi="Garamond" w:cs="Times New Roman"/>
        </w:rPr>
        <w:t xml:space="preserve">, it provides </w:t>
      </w:r>
      <w:r w:rsidR="00FB4F33" w:rsidRPr="00BE3AA2">
        <w:rPr>
          <w:rFonts w:ascii="Garamond" w:hAnsi="Garamond" w:cs="Times New Roman"/>
        </w:rPr>
        <w:t>updated assessments of civic space, informing advocacy and policy efforts aimed at protecting civic freedoms</w:t>
      </w:r>
      <w:r w:rsidR="00FB4F33">
        <w:rPr>
          <w:rFonts w:ascii="Garamond" w:hAnsi="Garamond" w:cs="Times New Roman"/>
        </w:rPr>
        <w:t xml:space="preserve">. </w:t>
      </w:r>
    </w:p>
    <w:p w14:paraId="36756257" w14:textId="17961672" w:rsidR="00D6369B" w:rsidRPr="00D6501E" w:rsidRDefault="00FB4F33" w:rsidP="00BE3AA2">
      <w:pPr>
        <w:spacing w:line="360" w:lineRule="auto"/>
        <w:jc w:val="both"/>
        <w:rPr>
          <w:rFonts w:ascii="Garamond" w:hAnsi="Garamond" w:cs="Times New Roman"/>
        </w:rPr>
      </w:pPr>
      <w:r>
        <w:rPr>
          <w:rFonts w:ascii="Garamond" w:hAnsi="Garamond" w:cs="Times New Roman"/>
        </w:rPr>
        <w:t xml:space="preserve">Other sources include the </w:t>
      </w:r>
      <w:r w:rsidRPr="00BE3AA2">
        <w:rPr>
          <w:rFonts w:ascii="Garamond" w:hAnsi="Garamond" w:cs="Times New Roman"/>
          <w:b/>
          <w:bCs/>
        </w:rPr>
        <w:t>United Nations Development Programme (UNDP)</w:t>
      </w:r>
      <w:r w:rsidR="00D6501E">
        <w:rPr>
          <w:rFonts w:ascii="Garamond" w:hAnsi="Garamond" w:cs="Times New Roman"/>
        </w:rPr>
        <w:t xml:space="preserve"> which provides</w:t>
      </w:r>
      <w:r>
        <w:rPr>
          <w:rFonts w:ascii="Garamond" w:hAnsi="Garamond" w:cs="Times New Roman"/>
        </w:rPr>
        <w:t xml:space="preserve"> the </w:t>
      </w:r>
      <w:r w:rsidRPr="00BE3AA2">
        <w:rPr>
          <w:rFonts w:ascii="Garamond" w:hAnsi="Garamond" w:cs="Times New Roman"/>
        </w:rPr>
        <w:t>widely disseminated Human Development Index</w:t>
      </w:r>
      <w:r>
        <w:rPr>
          <w:rFonts w:ascii="Garamond" w:hAnsi="Garamond" w:cs="Times New Roman"/>
        </w:rPr>
        <w:t xml:space="preserve">, </w:t>
      </w:r>
      <w:r w:rsidRPr="00FB4F33">
        <w:rPr>
          <w:rFonts w:ascii="Garamond" w:hAnsi="Garamond" w:cs="Times New Roman"/>
        </w:rPr>
        <w:t>a statistical tool used to measure a country's overall achievement in its social and economic dimensions</w:t>
      </w:r>
      <w:r>
        <w:rPr>
          <w:rFonts w:ascii="Garamond" w:hAnsi="Garamond" w:cs="Times New Roman"/>
        </w:rPr>
        <w:t xml:space="preserve">. The </w:t>
      </w:r>
      <w:r w:rsidRPr="00BE3AA2">
        <w:rPr>
          <w:rFonts w:ascii="Garamond" w:hAnsi="Garamond" w:cs="Times New Roman"/>
          <w:b/>
          <w:bCs/>
        </w:rPr>
        <w:t>Women, Business and the Law (WBL)</w:t>
      </w:r>
      <w:r w:rsidRPr="00FB4F33">
        <w:rPr>
          <w:rFonts w:ascii="Garamond" w:hAnsi="Garamond" w:cs="Times New Roman"/>
        </w:rPr>
        <w:t xml:space="preserve"> project</w:t>
      </w:r>
      <w:r>
        <w:rPr>
          <w:rFonts w:ascii="Garamond" w:hAnsi="Garamond" w:cs="Times New Roman"/>
        </w:rPr>
        <w:t xml:space="preserve">, </w:t>
      </w:r>
      <w:r w:rsidRPr="00BE3AA2">
        <w:rPr>
          <w:rFonts w:ascii="Garamond" w:hAnsi="Garamond" w:cs="Times New Roman"/>
        </w:rPr>
        <w:t>undertaken by the World Bank Group, systematically gathers data to measure the legal and regulatory barriers affecting women's economic participation across 190 economies.</w:t>
      </w:r>
      <w:r>
        <w:rPr>
          <w:rFonts w:ascii="Garamond" w:hAnsi="Garamond" w:cs="Times New Roman"/>
        </w:rPr>
        <w:t xml:space="preserve"> Similar to UNDP, the </w:t>
      </w:r>
      <w:r w:rsidRPr="00BE3AA2">
        <w:rPr>
          <w:rFonts w:ascii="Garamond" w:hAnsi="Garamond" w:cs="Times New Roman"/>
          <w:b/>
          <w:bCs/>
        </w:rPr>
        <w:t>Economist Intelligence Unit (EIU)</w:t>
      </w:r>
      <w:r>
        <w:rPr>
          <w:rFonts w:ascii="Garamond" w:hAnsi="Garamond" w:cs="Times New Roman"/>
        </w:rPr>
        <w:t xml:space="preserve">, a division of The Economist Group, provides the Democracy Index, an annual index that ranks countries based </w:t>
      </w:r>
      <w:r w:rsidR="008E4316">
        <w:rPr>
          <w:rFonts w:ascii="Garamond" w:hAnsi="Garamond" w:cs="Times New Roman"/>
        </w:rPr>
        <w:t xml:space="preserve">on </w:t>
      </w:r>
      <w:r w:rsidRPr="00FB4F33">
        <w:rPr>
          <w:rFonts w:ascii="Garamond" w:hAnsi="Garamond" w:cs="Times New Roman"/>
        </w:rPr>
        <w:t>their electoral process and pluralism, functioning of government, political participation, political culture, and civil liberties to assess the state of democracy worldwide.</w:t>
      </w:r>
      <w:r>
        <w:rPr>
          <w:rFonts w:ascii="Garamond" w:hAnsi="Garamond" w:cs="Times New Roman"/>
        </w:rPr>
        <w:t xml:space="preserve"> </w:t>
      </w:r>
      <w:r w:rsidR="00D6501E">
        <w:rPr>
          <w:rFonts w:ascii="Garamond" w:hAnsi="Garamond" w:cs="Times New Roman"/>
        </w:rPr>
        <w:t xml:space="preserve">The </w:t>
      </w:r>
      <w:r w:rsidR="00D6501E" w:rsidRPr="00BE3AA2">
        <w:rPr>
          <w:rFonts w:ascii="Garamond" w:hAnsi="Garamond" w:cs="Times New Roman"/>
          <w:b/>
          <w:bCs/>
        </w:rPr>
        <w:t>Sovereign ESG Data Portal (ESG)</w:t>
      </w:r>
      <w:r w:rsidR="00D6501E">
        <w:rPr>
          <w:rFonts w:ascii="Garamond" w:hAnsi="Garamond" w:cs="Times New Roman"/>
        </w:rPr>
        <w:t xml:space="preserve">, developed by the WBG, is designed to provide environmental, social, and governance data related to sovereign debt. Finally, the </w:t>
      </w:r>
      <w:r w:rsidR="00D6501E" w:rsidRPr="00BE3AA2">
        <w:rPr>
          <w:rFonts w:ascii="Garamond" w:hAnsi="Garamond" w:cs="Times New Roman"/>
          <w:b/>
          <w:bCs/>
        </w:rPr>
        <w:t>Equality of Opportunity for Sexual and Gender Minorities (EQOSOGI)</w:t>
      </w:r>
      <w:r w:rsidR="002C7F88">
        <w:rPr>
          <w:rFonts w:ascii="Garamond" w:hAnsi="Garamond" w:cs="Times New Roman"/>
        </w:rPr>
        <w:t xml:space="preserve">, a relatively recent project carried out by the WBG, provides data on the degree of legal protection against sexual and gender minorities </w:t>
      </w:r>
      <w:r w:rsidR="008E4316">
        <w:rPr>
          <w:rFonts w:ascii="Garamond" w:hAnsi="Garamond" w:cs="Times New Roman"/>
        </w:rPr>
        <w:t>in</w:t>
      </w:r>
      <w:r w:rsidR="002C7F88">
        <w:rPr>
          <w:rFonts w:ascii="Garamond" w:hAnsi="Garamond" w:cs="Times New Roman"/>
        </w:rPr>
        <w:t xml:space="preserve"> countries.</w:t>
      </w:r>
    </w:p>
    <w:p w14:paraId="07BF93EF" w14:textId="26099A5B" w:rsidR="00D6369B" w:rsidRPr="00D6369B" w:rsidRDefault="00D6369B" w:rsidP="00BE1B60">
      <w:pPr>
        <w:pStyle w:val="ListParagraph"/>
        <w:numPr>
          <w:ilvl w:val="1"/>
          <w:numId w:val="3"/>
        </w:numPr>
        <w:spacing w:line="360" w:lineRule="auto"/>
        <w:jc w:val="both"/>
        <w:outlineLvl w:val="1"/>
        <w:rPr>
          <w:rFonts w:ascii="Garamond" w:hAnsi="Garamond" w:cs="Times New Roman"/>
          <w:b/>
          <w:bCs/>
        </w:rPr>
      </w:pPr>
      <w:bookmarkStart w:id="5" w:name="_Toc163821658"/>
      <w:r>
        <w:rPr>
          <w:rFonts w:ascii="Garamond" w:hAnsi="Garamond" w:cs="Times New Roman"/>
          <w:b/>
          <w:bCs/>
        </w:rPr>
        <w:t xml:space="preserve">New features in the </w:t>
      </w:r>
      <w:r w:rsidR="00FD2500">
        <w:rPr>
          <w:rFonts w:ascii="Garamond" w:hAnsi="Garamond" w:cs="Times New Roman"/>
          <w:b/>
          <w:bCs/>
        </w:rPr>
        <w:t>SSGD v2.0</w:t>
      </w:r>
      <w:bookmarkEnd w:id="5"/>
    </w:p>
    <w:p w14:paraId="508417B8" w14:textId="1FF95128" w:rsidR="00E845A5" w:rsidRPr="00E845A5" w:rsidRDefault="00D6369B" w:rsidP="00BE1B60">
      <w:pPr>
        <w:spacing w:line="360" w:lineRule="auto"/>
        <w:jc w:val="both"/>
        <w:rPr>
          <w:rFonts w:ascii="Garamond" w:hAnsi="Garamond" w:cs="Times New Roman"/>
        </w:rPr>
      </w:pPr>
      <w:r w:rsidRPr="00D6369B">
        <w:rPr>
          <w:rFonts w:ascii="Garamond" w:hAnsi="Garamond" w:cs="Times New Roman"/>
        </w:rPr>
        <w:t>This new version goes beyond national aggregated data and population group breakdowns to include time analysis, subnational analysis, and geospatial visualization that overlays with climate data among other sources.</w:t>
      </w:r>
      <w:r w:rsidR="005B7E6D">
        <w:rPr>
          <w:rFonts w:ascii="Garamond" w:hAnsi="Garamond" w:cs="Times New Roman"/>
        </w:rPr>
        <w:t xml:space="preserve"> </w:t>
      </w:r>
      <w:r w:rsidR="00E845A5" w:rsidRPr="00E845A5">
        <w:rPr>
          <w:rFonts w:ascii="Garamond" w:hAnsi="Garamond" w:cs="Times New Roman"/>
        </w:rPr>
        <w:t xml:space="preserve">The SSGD v2.0 not only offers </w:t>
      </w:r>
      <w:r w:rsidR="00BE1B60">
        <w:rPr>
          <w:rFonts w:ascii="Garamond" w:hAnsi="Garamond" w:cs="Times New Roman"/>
        </w:rPr>
        <w:t>disaggregated</w:t>
      </w:r>
      <w:r w:rsidR="00E845A5" w:rsidRPr="00E845A5">
        <w:rPr>
          <w:rFonts w:ascii="Garamond" w:hAnsi="Garamond" w:cs="Times New Roman"/>
        </w:rPr>
        <w:t xml:space="preserve"> estimates for indicators related to social sustainability but also features a user-friendly structure. </w:t>
      </w:r>
      <w:r>
        <w:rPr>
          <w:rFonts w:ascii="Garamond" w:hAnsi="Garamond" w:cs="Times New Roman"/>
        </w:rPr>
        <w:t xml:space="preserve">Following the WBG policy of open data and promotion of </w:t>
      </w:r>
      <w:hyperlink r:id="rId29" w:history="1">
        <w:r w:rsidRPr="00D6369B">
          <w:rPr>
            <w:rStyle w:val="Hyperlink"/>
            <w:rFonts w:ascii="Garamond" w:hAnsi="Garamond" w:cs="Times New Roman"/>
          </w:rPr>
          <w:t>reproducibility</w:t>
        </w:r>
      </w:hyperlink>
      <w:r>
        <w:rPr>
          <w:rFonts w:ascii="Garamond" w:hAnsi="Garamond" w:cs="Times New Roman"/>
        </w:rPr>
        <w:t xml:space="preserve"> of generated data</w:t>
      </w:r>
      <w:r w:rsidR="00E845A5" w:rsidRPr="00E845A5">
        <w:rPr>
          <w:rFonts w:ascii="Garamond" w:hAnsi="Garamond" w:cs="Times New Roman"/>
        </w:rPr>
        <w:t xml:space="preserve">, the SSGD v2.0 enables users to replicate the database from the raw data </w:t>
      </w:r>
      <w:r>
        <w:rPr>
          <w:rFonts w:ascii="Garamond" w:hAnsi="Garamond" w:cs="Times New Roman"/>
        </w:rPr>
        <w:t xml:space="preserve">to the construction of rates in an automatic manner. To do so, the codes are written so that the variables that are constructed using standardized labeling (prefix and suffix) that standardizes is automatic and standardized </w:t>
      </w:r>
      <w:r w:rsidR="00E845A5" w:rsidRPr="00E845A5">
        <w:rPr>
          <w:rFonts w:ascii="Garamond" w:hAnsi="Garamond" w:cs="Times New Roman"/>
        </w:rPr>
        <w:t>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00E845A5" w:rsidRPr="00E845A5">
        <w:rPr>
          <w:rFonts w:ascii="Garamond" w:hAnsi="Garamond" w:cs="Times New Roman"/>
        </w:rPr>
        <w:t xml:space="preserve"> (for more details, refer to section </w:t>
      </w:r>
      <w:r w:rsidR="0051385D">
        <w:rPr>
          <w:rFonts w:ascii="Garamond" w:hAnsi="Garamond" w:cs="Times New Roman"/>
        </w:rPr>
        <w:t>5</w:t>
      </w:r>
      <w:r w:rsidR="00E845A5" w:rsidRPr="00E845A5">
        <w:rPr>
          <w:rFonts w:ascii="Garamond" w:hAnsi="Garamond" w:cs="Times New Roman"/>
        </w:rPr>
        <w:t>).</w:t>
      </w:r>
    </w:p>
    <w:p w14:paraId="44266671" w14:textId="3A20F200"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Given the diverse sources contributing to the SSGD v2.0, the database employs harmonization standards for all its indicators, ensuring comparability across various datasets. It also preserves the </w:t>
      </w:r>
      <w:r w:rsidRPr="00E845A5">
        <w:rPr>
          <w:rFonts w:ascii="Garamond" w:hAnsi="Garamond" w:cs="Times New Roman"/>
        </w:rPr>
        <w:lastRenderedPageBreak/>
        <w:t>original metadata for each indicator, facilitating user access to the sources and providing insight into additional characteristics of the indicators.</w:t>
      </w:r>
      <w:r w:rsidR="005B7E6D">
        <w:rPr>
          <w:rFonts w:ascii="Garamond" w:hAnsi="Garamond" w:cs="Times New Roman"/>
        </w:rPr>
        <w:t xml:space="preserve"> </w:t>
      </w: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30"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2C43531D" w14:textId="66A7A530" w:rsidR="00C72A0E" w:rsidRDefault="00FD2500" w:rsidP="00C72A0E">
      <w:pPr>
        <w:spacing w:line="360" w:lineRule="auto"/>
        <w:jc w:val="center"/>
        <w:rPr>
          <w:rFonts w:ascii="Garamond" w:hAnsi="Garamond" w:cs="Times New Roman"/>
        </w:rPr>
      </w:pPr>
      <w:r w:rsidRPr="00FD2500">
        <w:rPr>
          <w:rFonts w:ascii="Garamond" w:hAnsi="Garamond" w:cs="Times New Roman"/>
          <w:b/>
          <w:bCs/>
        </w:rPr>
        <w:t>Figure 3</w:t>
      </w:r>
      <w:r w:rsidRPr="00FD2500">
        <w:rPr>
          <w:rFonts w:ascii="Garamond" w:hAnsi="Garamond" w:cs="Times New Roman"/>
        </w:rPr>
        <w:t xml:space="preserve">: </w:t>
      </w:r>
      <w:r>
        <w:rPr>
          <w:rFonts w:ascii="Garamond" w:hAnsi="Garamond" w:cs="Times New Roman"/>
        </w:rPr>
        <w:t>SSGD v2.0 features</w:t>
      </w:r>
    </w:p>
    <w:p w14:paraId="79CFA33B" w14:textId="124BCB5B" w:rsidR="00163823" w:rsidRDefault="00163823" w:rsidP="00163823">
      <w:pPr>
        <w:pStyle w:val="NormalWeb"/>
      </w:pPr>
      <w:r>
        <w:rPr>
          <w:noProof/>
        </w:rPr>
        <w:drawing>
          <wp:inline distT="0" distB="0" distL="0" distR="0" wp14:anchorId="1A38382C" wp14:editId="505F75E4">
            <wp:extent cx="5400040" cy="3297555"/>
            <wp:effectExtent l="0" t="0" r="0" b="0"/>
            <wp:docPr id="174595107" name="Picture 3"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5107" name="Picture 3" descr="A diagram of a software development proces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29755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677EAC07"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w:t>
      </w:r>
      <w:r w:rsidR="008E4316">
        <w:rPr>
          <w:rFonts w:ascii="Garamond" w:hAnsi="Garamond" w:cs="Times New Roman"/>
        </w:rPr>
        <w:t>development indicators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through public dissemination of codes used for data 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6" w:name="_Toc163821659"/>
      <w:r w:rsidRPr="000B15F6">
        <w:rPr>
          <w:rFonts w:ascii="Garamond" w:hAnsi="Garamond" w:cs="Times New Roman"/>
          <w:b/>
          <w:bCs/>
        </w:rPr>
        <w:lastRenderedPageBreak/>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6"/>
    </w:p>
    <w:p w14:paraId="2FE2D025" w14:textId="1EE14393" w:rsidR="00F1771F" w:rsidRDefault="00B65BE4" w:rsidP="000B15F6">
      <w:pPr>
        <w:spacing w:line="360" w:lineRule="auto"/>
        <w:jc w:val="both"/>
        <w:rPr>
          <w:rFonts w:ascii="Garamond" w:hAnsi="Garamond" w:cs="Times New Roman"/>
        </w:rPr>
        <w:sectPr w:rsidR="00F1771F" w:rsidSect="007C0C6D">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w:t>
      </w:r>
      <w:r w:rsidR="00C07E66">
        <w:rPr>
          <w:rFonts w:ascii="Garamond" w:hAnsi="Garamond" w:cs="Times New Roman"/>
        </w:rPr>
        <w:t>2</w:t>
      </w:r>
      <w:r w:rsidR="000B15F6" w:rsidRPr="008D44E3">
        <w:rPr>
          <w:rFonts w:ascii="Garamond" w:hAnsi="Garamond" w:cs="Times New Roman"/>
        </w:rPr>
        <w:t xml:space="preserve">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282FDCC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p>
    <w:p w14:paraId="5C8CA541" w14:textId="5635D978" w:rsidR="000B15F6" w:rsidRPr="00212034" w:rsidRDefault="00741982" w:rsidP="000B15F6">
      <w:pPr>
        <w:spacing w:line="360" w:lineRule="auto"/>
        <w:jc w:val="center"/>
        <w:rPr>
          <w:rFonts w:ascii="Garamond" w:hAnsi="Garamond" w:cs="Times New Roman"/>
          <w:b/>
          <w:bCs/>
        </w:rPr>
      </w:pPr>
      <w:r w:rsidRPr="00741982">
        <w:rPr>
          <w:noProof/>
        </w:rPr>
        <w:drawing>
          <wp:inline distT="0" distB="0" distL="0" distR="0" wp14:anchorId="7BA07DCD" wp14:editId="3B721F07">
            <wp:extent cx="8891270" cy="4483100"/>
            <wp:effectExtent l="0" t="0" r="5080" b="0"/>
            <wp:docPr id="131605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1270" cy="4483100"/>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298F031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0ABFFC53" w14:textId="48222D0D" w:rsidR="000B15F6" w:rsidRDefault="00741982" w:rsidP="000B15F6">
      <w:pPr>
        <w:spacing w:line="360" w:lineRule="auto"/>
        <w:jc w:val="center"/>
        <w:rPr>
          <w:rFonts w:ascii="Garamond" w:hAnsi="Garamond" w:cs="Times New Roman"/>
          <w:b/>
          <w:bCs/>
        </w:rPr>
      </w:pPr>
      <w:r w:rsidRPr="00741982">
        <w:rPr>
          <w:noProof/>
        </w:rPr>
        <w:drawing>
          <wp:inline distT="0" distB="0" distL="0" distR="0" wp14:anchorId="4997119F" wp14:editId="66D4EB3E">
            <wp:extent cx="8891270" cy="4346575"/>
            <wp:effectExtent l="0" t="0" r="5080" b="0"/>
            <wp:docPr id="568349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1270" cy="4346575"/>
                    </a:xfrm>
                    <a:prstGeom prst="rect">
                      <a:avLst/>
                    </a:prstGeom>
                    <a:noFill/>
                    <a:ln>
                      <a:noFill/>
                    </a:ln>
                  </pic:spPr>
                </pic:pic>
              </a:graphicData>
            </a:graphic>
          </wp:inline>
        </w:drawing>
      </w:r>
    </w:p>
    <w:p w14:paraId="04A6F938" w14:textId="77777777" w:rsidR="00741982" w:rsidRDefault="00741982" w:rsidP="000B15F6">
      <w:pPr>
        <w:spacing w:line="360" w:lineRule="auto"/>
        <w:jc w:val="center"/>
        <w:rPr>
          <w:rFonts w:ascii="Garamond" w:hAnsi="Garamond" w:cs="Times New Roman"/>
          <w:b/>
          <w:bCs/>
        </w:rPr>
      </w:pPr>
    </w:p>
    <w:p w14:paraId="023FA478" w14:textId="1151A801"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5E95386E" w14:textId="2550A762" w:rsidR="000B15F6" w:rsidRDefault="00741982" w:rsidP="000B15F6">
      <w:pPr>
        <w:spacing w:line="360" w:lineRule="auto"/>
        <w:jc w:val="center"/>
        <w:rPr>
          <w:rFonts w:ascii="Garamond" w:hAnsi="Garamond" w:cs="Times New Roman"/>
          <w:b/>
          <w:bCs/>
        </w:rPr>
      </w:pPr>
      <w:r w:rsidRPr="00741982">
        <w:rPr>
          <w:noProof/>
        </w:rPr>
        <w:drawing>
          <wp:inline distT="0" distB="0" distL="0" distR="0" wp14:anchorId="5AFABEB2" wp14:editId="0B857811">
            <wp:extent cx="8891270" cy="4946015"/>
            <wp:effectExtent l="0" t="0" r="5080" b="6985"/>
            <wp:docPr id="938257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1270" cy="4946015"/>
                    </a:xfrm>
                    <a:prstGeom prst="rect">
                      <a:avLst/>
                    </a:prstGeom>
                    <a:noFill/>
                    <a:ln>
                      <a:noFill/>
                    </a:ln>
                  </pic:spPr>
                </pic:pic>
              </a:graphicData>
            </a:graphic>
          </wp:inline>
        </w:drawing>
      </w:r>
    </w:p>
    <w:p w14:paraId="04E9DA8A" w14:textId="1B2E8336"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2B57E519" w14:textId="1C80826A" w:rsidR="000B15F6" w:rsidRDefault="00741982" w:rsidP="000B15F6">
      <w:pPr>
        <w:rPr>
          <w:rFonts w:ascii="Garamond" w:hAnsi="Garamond" w:cs="Times New Roman"/>
        </w:rPr>
        <w:sectPr w:rsidR="000B15F6" w:rsidSect="007C0C6D">
          <w:pgSz w:w="16838" w:h="11906" w:orient="landscape"/>
          <w:pgMar w:top="1701" w:right="1418" w:bottom="1701" w:left="1418" w:header="709" w:footer="709" w:gutter="0"/>
          <w:cols w:space="708"/>
          <w:docGrid w:linePitch="360"/>
        </w:sectPr>
      </w:pPr>
      <w:r w:rsidRPr="00741982">
        <w:rPr>
          <w:noProof/>
        </w:rPr>
        <w:drawing>
          <wp:inline distT="0" distB="0" distL="0" distR="0" wp14:anchorId="4FD3D025" wp14:editId="192C17C1">
            <wp:extent cx="8891270" cy="4859020"/>
            <wp:effectExtent l="0" t="0" r="5080" b="0"/>
            <wp:docPr id="1879383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1270" cy="4859020"/>
                    </a:xfrm>
                    <a:prstGeom prst="rect">
                      <a:avLst/>
                    </a:prstGeom>
                    <a:noFill/>
                    <a:ln>
                      <a:noFill/>
                    </a:ln>
                  </pic:spPr>
                </pic:pic>
              </a:graphicData>
            </a:graphic>
          </wp:inline>
        </w:drawing>
      </w:r>
    </w:p>
    <w:p w14:paraId="24A15FEC" w14:textId="6505CEAE" w:rsidR="00372165" w:rsidRDefault="00372165" w:rsidP="000B15F6">
      <w:pPr>
        <w:spacing w:line="360" w:lineRule="auto"/>
        <w:jc w:val="both"/>
        <w:rPr>
          <w:rFonts w:ascii="Garamond" w:hAnsi="Garamond" w:cs="Times New Roman"/>
        </w:rPr>
      </w:pPr>
      <w:r>
        <w:rPr>
          <w:rFonts w:ascii="Garamond" w:hAnsi="Garamond" w:cs="Times New Roman"/>
        </w:rPr>
        <w:lastRenderedPageBreak/>
        <w:t xml:space="preserve">Appendix </w:t>
      </w:r>
      <w:r w:rsidR="00004118">
        <w:rPr>
          <w:rFonts w:ascii="Garamond" w:hAnsi="Garamond" w:cs="Times New Roman"/>
        </w:rPr>
        <w:t>A</w:t>
      </w:r>
      <w:r>
        <w:rPr>
          <w:rFonts w:ascii="Garamond" w:hAnsi="Garamond" w:cs="Times New Roman"/>
        </w:rPr>
        <w:t xml:space="preserve"> contains supplementary material to this technical report that offers an extended version of Table </w:t>
      </w:r>
      <w:r w:rsidR="00C07E66">
        <w:rPr>
          <w:rFonts w:ascii="Garamond" w:hAnsi="Garamond" w:cs="Times New Roman"/>
        </w:rPr>
        <w:t>2</w:t>
      </w:r>
      <w:r>
        <w:rPr>
          <w:rFonts w:ascii="Garamond" w:hAnsi="Garamond" w:cs="Times New Roman"/>
        </w:rPr>
        <w:t>. There the user will find detailed information on the data availability both by wave and population group information. As part of the supplementary materials, a codebook for the SSGD v2.0 is provided.</w:t>
      </w:r>
    </w:p>
    <w:p w14:paraId="6D1959AC" w14:textId="7FF47E3A"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 xml:space="preserve">s important to highlight that multiple sources can supply data for a single indicator (refer to the "Source" column in Table </w:t>
      </w:r>
      <w:r w:rsidR="00C07E66">
        <w:rPr>
          <w:rFonts w:ascii="Garamond" w:hAnsi="Garamond" w:cs="Times New Roman"/>
        </w:rPr>
        <w:t>2</w:t>
      </w:r>
      <w:r w:rsidRPr="00F4217D">
        <w:rPr>
          <w:rFonts w:ascii="Garamond" w:hAnsi="Garamond" w:cs="Times New Roman"/>
        </w:rPr>
        <w:t>).</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0D67409F">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65AEABCD"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xml:space="preserve">. Table </w:t>
      </w:r>
      <w:r w:rsidR="00C07E66">
        <w:rPr>
          <w:rFonts w:ascii="Garamond" w:hAnsi="Garamond" w:cs="Times New Roman"/>
        </w:rPr>
        <w:t>3</w:t>
      </w:r>
      <w:r w:rsidRPr="00A460E5">
        <w:rPr>
          <w:rFonts w:ascii="Garamond" w:hAnsi="Garamond" w:cs="Times New Roman"/>
        </w:rPr>
        <w:t xml:space="preserve">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 xml:space="preserve">Similarly, Table </w:t>
      </w:r>
      <w:r w:rsidR="00C07E66">
        <w:rPr>
          <w:rFonts w:ascii="Garamond" w:hAnsi="Garamond" w:cs="Times New Roman"/>
        </w:rPr>
        <w:t>4</w:t>
      </w:r>
      <w:r w:rsidRPr="00B51579">
        <w:rPr>
          <w:rFonts w:ascii="Garamond" w:hAnsi="Garamond" w:cs="Times New Roman"/>
        </w:rPr>
        <w:t xml:space="preserve"> shows the information contained in Table </w:t>
      </w:r>
      <w:r w:rsidR="00C07E66">
        <w:rPr>
          <w:rFonts w:ascii="Garamond" w:hAnsi="Garamond" w:cs="Times New Roman"/>
        </w:rPr>
        <w:t>3</w:t>
      </w:r>
      <w:r w:rsidRPr="00B51579">
        <w:rPr>
          <w:rFonts w:ascii="Garamond" w:hAnsi="Garamond" w:cs="Times New Roman"/>
        </w:rPr>
        <w:t xml:space="preserve">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55D303FE"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3</w:t>
      </w:r>
      <w:r w:rsidRPr="00212034">
        <w:rPr>
          <w:rFonts w:ascii="Garamond" w:hAnsi="Garamond" w:cs="Times New Roman"/>
          <w:b/>
          <w:bCs/>
        </w:rPr>
        <w:t>: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782A196C"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4</w:t>
      </w:r>
      <w:r w:rsidRPr="00212034">
        <w:rPr>
          <w:rFonts w:ascii="Garamond" w:hAnsi="Garamond" w:cs="Times New Roman"/>
          <w:b/>
          <w:bCs/>
        </w:rPr>
        <w:t>: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7C0C6D">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140E8DEC">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6C8DB967">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7C0C6D">
          <w:pgSz w:w="16838" w:h="11906" w:orient="landscape"/>
          <w:pgMar w:top="1701" w:right="1418" w:bottom="1701" w:left="1418" w:header="709" w:footer="709" w:gutter="0"/>
          <w:cols w:space="708"/>
          <w:docGrid w:linePitch="360"/>
        </w:sectPr>
      </w:pPr>
    </w:p>
    <w:p w14:paraId="07EBE205" w14:textId="03ED037B" w:rsidR="00FA5963" w:rsidRDefault="00625677" w:rsidP="000B15F6">
      <w:pPr>
        <w:pStyle w:val="ListParagraph"/>
        <w:numPr>
          <w:ilvl w:val="0"/>
          <w:numId w:val="3"/>
        </w:numPr>
        <w:spacing w:line="360" w:lineRule="auto"/>
        <w:jc w:val="both"/>
        <w:outlineLvl w:val="0"/>
        <w:rPr>
          <w:rFonts w:ascii="Garamond" w:hAnsi="Garamond" w:cs="Times New Roman"/>
          <w:b/>
          <w:bCs/>
          <w:sz w:val="24"/>
          <w:szCs w:val="24"/>
        </w:rPr>
      </w:pPr>
      <w:bookmarkStart w:id="7" w:name="_Toc163821660"/>
      <w:r>
        <w:rPr>
          <w:rFonts w:ascii="Garamond" w:hAnsi="Garamond" w:cs="Times New Roman"/>
          <w:b/>
          <w:bCs/>
          <w:sz w:val="24"/>
          <w:szCs w:val="24"/>
        </w:rPr>
        <w:lastRenderedPageBreak/>
        <w:t>Data</w:t>
      </w:r>
      <w:r w:rsidR="00E268DB">
        <w:rPr>
          <w:rFonts w:ascii="Garamond" w:hAnsi="Garamond" w:cs="Times New Roman"/>
          <w:b/>
          <w:bCs/>
          <w:sz w:val="24"/>
          <w:szCs w:val="24"/>
        </w:rPr>
        <w:t xml:space="preserve"> visualization</w:t>
      </w:r>
      <w:bookmarkEnd w:id="7"/>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6827F495"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w:t>
      </w:r>
      <w:r w:rsidR="008E4316">
        <w:rPr>
          <w:rFonts w:ascii="Garamond" w:hAnsi="Garamond" w:cs="Times New Roman"/>
        </w:rPr>
        <w:t>s</w:t>
      </w:r>
      <w:r w:rsidRPr="00B1790F">
        <w:rPr>
          <w:rFonts w:ascii="Garamond" w:hAnsi="Garamond" w:cs="Times New Roman"/>
        </w:rPr>
        <w:t xml:space="preserve">ocial </w:t>
      </w:r>
      <w:r w:rsidR="008E4316">
        <w:rPr>
          <w:rFonts w:ascii="Garamond" w:hAnsi="Garamond" w:cs="Times New Roman"/>
        </w:rPr>
        <w:t>i</w:t>
      </w:r>
      <w:r w:rsidRPr="00B1790F">
        <w:rPr>
          <w:rFonts w:ascii="Garamond" w:hAnsi="Garamond" w:cs="Times New Roman"/>
        </w:rPr>
        <w:t xml:space="preserve">nclusion, </w:t>
      </w:r>
      <w:r w:rsidR="008E4316">
        <w:rPr>
          <w:rFonts w:ascii="Garamond" w:hAnsi="Garamond" w:cs="Times New Roman"/>
        </w:rPr>
        <w:t>development</w:t>
      </w:r>
      <w:r w:rsidRPr="00B1790F">
        <w:rPr>
          <w:rFonts w:ascii="Garamond" w:hAnsi="Garamond" w:cs="Times New Roman"/>
        </w:rPr>
        <w:t xml:space="preserve"> </w:t>
      </w:r>
      <w:r w:rsidR="008E4316">
        <w:rPr>
          <w:rFonts w:ascii="Garamond" w:hAnsi="Garamond" w:cs="Times New Roman"/>
        </w:rPr>
        <w:t>indicators</w:t>
      </w:r>
      <w:r w:rsidRPr="00B1790F">
        <w:rPr>
          <w:rFonts w:ascii="Garamond" w:hAnsi="Garamond" w:cs="Times New Roman"/>
        </w:rPr>
        <w:t xml:space="preserve">),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70DAF4F8" w14:textId="59D676BF" w:rsidR="00D95C0E" w:rsidRDefault="00D95C0E" w:rsidP="00D95C0E">
      <w:pPr>
        <w:pStyle w:val="NormalWeb"/>
        <w:jc w:val="center"/>
      </w:pPr>
      <w:r>
        <w:rPr>
          <w:noProof/>
        </w:rPr>
        <w:drawing>
          <wp:inline distT="0" distB="0" distL="0" distR="0" wp14:anchorId="7A1ACA97" wp14:editId="329BDF52">
            <wp:extent cx="5184475" cy="4318770"/>
            <wp:effectExtent l="0" t="0" r="0" b="5715"/>
            <wp:docPr id="1349564271" name="Picture 4"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4271" name="Picture 4" descr="A diagram of a company profi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1839" cy="4324905"/>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lastRenderedPageBreak/>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DF1CFC3" w:rsidR="00E268DB" w:rsidRPr="005D33F2" w:rsidRDefault="00E268DB" w:rsidP="00E268DB">
      <w:pPr>
        <w:spacing w:line="360" w:lineRule="auto"/>
        <w:jc w:val="both"/>
        <w:rPr>
          <w:rFonts w:ascii="Garamond" w:hAnsi="Garamond" w:cs="Times New Roman"/>
        </w:rPr>
        <w:sectPr w:rsidR="00E268DB" w:rsidRPr="005D33F2" w:rsidSect="007C0C6D">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w:t>
      </w:r>
      <w:r w:rsidR="008E4316">
        <w:rPr>
          <w:rFonts w:ascii="Garamond" w:hAnsi="Garamond" w:cs="Times New Roman"/>
        </w:rPr>
        <w:t>development</w:t>
      </w:r>
      <w:r w:rsidRPr="00E268DB">
        <w:rPr>
          <w:rFonts w:ascii="Garamond" w:hAnsi="Garamond" w:cs="Times New Roman"/>
        </w:rPr>
        <w:t xml:space="preserve"> indicators of a chosen country are shown by default. </w:t>
      </w:r>
      <w:r w:rsidR="00093AF9" w:rsidRPr="00093AF9">
        <w:rPr>
          <w:rFonts w:ascii="Garamond" w:hAnsi="Garamond" w:cs="Times New Roman"/>
        </w:rPr>
        <w:t>Box 7C presents a comparative analysis of the same indicator between two pairs of countries or periods. This benchmarking allows us to compare the profiles of two countries during the same period, as well as the profile of a single country across different periods.</w:t>
      </w:r>
      <w:r w:rsidR="00093AF9">
        <w:rPr>
          <w:rFonts w:ascii="Garamond" w:hAnsi="Garamond" w:cs="Times New Roman"/>
        </w:rPr>
        <w:t xml:space="preserve"> </w:t>
      </w:r>
      <w:r w:rsidR="00093AF9" w:rsidRPr="00093AF9">
        <w:rPr>
          <w:rFonts w:ascii="Garamond" w:hAnsi="Garamond" w:cs="Times New Roman"/>
        </w:rPr>
        <w:t>Box 7D features a regional benchmarking panel, displaying a boxplot by region (as classified by the World Bank) for a specific indicator and period.</w:t>
      </w:r>
      <w:r w:rsidR="00093AF9">
        <w:rPr>
          <w:rFonts w:ascii="Garamond" w:hAnsi="Garamond" w:cs="Times New Roman"/>
        </w:rPr>
        <w:t xml:space="preserve"> Box 7E presents a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Box 7</w:t>
      </w:r>
      <w:r w:rsidR="00093AF9">
        <w:rPr>
          <w:rFonts w:ascii="Garamond" w:hAnsi="Garamond" w:cs="Times New Roman"/>
        </w:rPr>
        <w:t>F</w:t>
      </w:r>
      <w:r w:rsidRPr="00E268DB">
        <w:rPr>
          <w:rFonts w:ascii="Garamond" w:hAnsi="Garamond" w:cs="Times New Roman"/>
        </w:rPr>
        <w:t xml:space="preserve"> introduces the association panel, offering a scatter plot that visualizes the relationship between two indicators</w:t>
      </w:r>
      <w:r>
        <w:rPr>
          <w:rFonts w:ascii="Garamond" w:hAnsi="Garamond" w:cs="Times New Roman"/>
        </w:rPr>
        <w:t xml:space="preserve"> selected by the user</w:t>
      </w:r>
      <w:r w:rsidR="005A6062">
        <w:rPr>
          <w:rFonts w:ascii="Garamond" w:hAnsi="Garamond" w:cs="Times New Roman"/>
        </w:rPr>
        <w:t xml:space="preserve">. </w:t>
      </w:r>
    </w:p>
    <w:p w14:paraId="065A4BA1" w14:textId="146D8B5F" w:rsidR="00625B2D" w:rsidRDefault="009D42EB" w:rsidP="00625B2D">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02"/>
        <w:gridCol w:w="4742"/>
      </w:tblGrid>
      <w:tr w:rsidR="005A6062" w14:paraId="65A4B7D6" w14:textId="7419B05A" w:rsidTr="005A6062">
        <w:tc>
          <w:tcPr>
            <w:tcW w:w="5462" w:type="dxa"/>
            <w:shd w:val="clear" w:color="auto" w:fill="F2F2F2" w:themeFill="background1" w:themeFillShade="F2"/>
          </w:tcPr>
          <w:p w14:paraId="3D969274" w14:textId="587D9225" w:rsidR="005A6062" w:rsidRPr="00507711" w:rsidRDefault="005A6062"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492" w:type="dxa"/>
            <w:shd w:val="clear" w:color="auto" w:fill="F2F2F2" w:themeFill="background1" w:themeFillShade="F2"/>
          </w:tcPr>
          <w:p w14:paraId="547D4AA0" w14:textId="5BA3B9B7" w:rsidR="005A6062" w:rsidRPr="00507711" w:rsidRDefault="005A6062"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c>
          <w:tcPr>
            <w:tcW w:w="2048" w:type="dxa"/>
            <w:shd w:val="clear" w:color="auto" w:fill="F2F2F2" w:themeFill="background1" w:themeFillShade="F2"/>
          </w:tcPr>
          <w:p w14:paraId="188F70DF" w14:textId="0877A57A" w:rsidR="005A6062" w:rsidRPr="00507711" w:rsidRDefault="005A6062" w:rsidP="005A6062">
            <w:pPr>
              <w:pStyle w:val="ListParagraph"/>
              <w:numPr>
                <w:ilvl w:val="0"/>
                <w:numId w:val="13"/>
              </w:numPr>
              <w:spacing w:line="360" w:lineRule="auto"/>
              <w:jc w:val="center"/>
              <w:rPr>
                <w:rFonts w:ascii="Garamond" w:hAnsi="Garamond" w:cs="Times New Roman"/>
                <w:b/>
                <w:bCs/>
              </w:rPr>
            </w:pPr>
            <w:r>
              <w:rPr>
                <w:rFonts w:ascii="Garamond" w:hAnsi="Garamond" w:cs="Times New Roman"/>
                <w:b/>
                <w:bCs/>
              </w:rPr>
              <w:t>Country Benchmarking</w:t>
            </w:r>
          </w:p>
        </w:tc>
      </w:tr>
      <w:tr w:rsidR="005A6062" w14:paraId="619696A4" w14:textId="51E9DE5F" w:rsidTr="005A6062">
        <w:tc>
          <w:tcPr>
            <w:tcW w:w="5462" w:type="dxa"/>
          </w:tcPr>
          <w:p w14:paraId="7B2D732A" w14:textId="40A5129E"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17C8216D" wp14:editId="02E3F47E">
                  <wp:extent cx="2962800" cy="2160000"/>
                  <wp:effectExtent l="0" t="0" r="9525" b="0"/>
                  <wp:docPr id="6653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2286" name=""/>
                          <pic:cNvPicPr/>
                        </pic:nvPicPr>
                        <pic:blipFill>
                          <a:blip r:embed="rId44"/>
                          <a:stretch>
                            <a:fillRect/>
                          </a:stretch>
                        </pic:blipFill>
                        <pic:spPr>
                          <a:xfrm>
                            <a:off x="0" y="0"/>
                            <a:ext cx="2962800" cy="2160000"/>
                          </a:xfrm>
                          <a:prstGeom prst="rect">
                            <a:avLst/>
                          </a:prstGeom>
                        </pic:spPr>
                      </pic:pic>
                    </a:graphicData>
                  </a:graphic>
                </wp:inline>
              </w:drawing>
            </w:r>
          </w:p>
        </w:tc>
        <w:tc>
          <w:tcPr>
            <w:tcW w:w="6492" w:type="dxa"/>
          </w:tcPr>
          <w:p w14:paraId="19A81E14" w14:textId="5B7FCEC5"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512C472A" wp14:editId="130EFAD0">
                  <wp:extent cx="2962800" cy="2160000"/>
                  <wp:effectExtent l="0" t="0" r="9525" b="0"/>
                  <wp:docPr id="209239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94768" name=""/>
                          <pic:cNvPicPr/>
                        </pic:nvPicPr>
                        <pic:blipFill>
                          <a:blip r:embed="rId45"/>
                          <a:stretch>
                            <a:fillRect/>
                          </a:stretch>
                        </pic:blipFill>
                        <pic:spPr>
                          <a:xfrm>
                            <a:off x="0" y="0"/>
                            <a:ext cx="2962800" cy="2160000"/>
                          </a:xfrm>
                          <a:prstGeom prst="rect">
                            <a:avLst/>
                          </a:prstGeom>
                        </pic:spPr>
                      </pic:pic>
                    </a:graphicData>
                  </a:graphic>
                </wp:inline>
              </w:drawing>
            </w:r>
          </w:p>
        </w:tc>
        <w:tc>
          <w:tcPr>
            <w:tcW w:w="2048" w:type="dxa"/>
          </w:tcPr>
          <w:p w14:paraId="1404C7AB" w14:textId="289F67A7" w:rsidR="005A6062" w:rsidRP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06583329" wp14:editId="6180617A">
                  <wp:extent cx="2991600" cy="2160000"/>
                  <wp:effectExtent l="0" t="0" r="0" b="0"/>
                  <wp:docPr id="8379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44950" name=""/>
                          <pic:cNvPicPr/>
                        </pic:nvPicPr>
                        <pic:blipFill>
                          <a:blip r:embed="rId46"/>
                          <a:stretch>
                            <a:fillRect/>
                          </a:stretch>
                        </pic:blipFill>
                        <pic:spPr>
                          <a:xfrm>
                            <a:off x="0" y="0"/>
                            <a:ext cx="2991600" cy="2160000"/>
                          </a:xfrm>
                          <a:prstGeom prst="rect">
                            <a:avLst/>
                          </a:prstGeom>
                        </pic:spPr>
                      </pic:pic>
                    </a:graphicData>
                  </a:graphic>
                </wp:inline>
              </w:drawing>
            </w:r>
          </w:p>
        </w:tc>
      </w:tr>
      <w:tr w:rsidR="005A6062" w14:paraId="55B3E1A2" w14:textId="166CA6D8" w:rsidTr="005A6062">
        <w:tc>
          <w:tcPr>
            <w:tcW w:w="5462" w:type="dxa"/>
            <w:shd w:val="clear" w:color="auto" w:fill="F2F2F2" w:themeFill="background1" w:themeFillShade="F2"/>
          </w:tcPr>
          <w:p w14:paraId="691E0650" w14:textId="5F6757F0" w:rsidR="005A6062" w:rsidRPr="00507711" w:rsidRDefault="005A6062"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Regional Benchmarking</w:t>
            </w:r>
          </w:p>
        </w:tc>
        <w:tc>
          <w:tcPr>
            <w:tcW w:w="6492" w:type="dxa"/>
            <w:shd w:val="clear" w:color="auto" w:fill="F2F2F2" w:themeFill="background1" w:themeFillShade="F2"/>
          </w:tcPr>
          <w:p w14:paraId="3FE52B1E" w14:textId="37B03023" w:rsidR="005A6062" w:rsidRPr="00507711" w:rsidRDefault="005A6062"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Global Benchmarking</w:t>
            </w:r>
          </w:p>
        </w:tc>
        <w:tc>
          <w:tcPr>
            <w:tcW w:w="2048" w:type="dxa"/>
            <w:shd w:val="clear" w:color="auto" w:fill="F2F2F2" w:themeFill="background1" w:themeFillShade="F2"/>
          </w:tcPr>
          <w:p w14:paraId="61495707" w14:textId="0FBBE50D" w:rsidR="005A6062" w:rsidRPr="00507711" w:rsidRDefault="0078635F"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Associations</w:t>
            </w:r>
          </w:p>
        </w:tc>
      </w:tr>
      <w:tr w:rsidR="005A6062" w14:paraId="5C134EA0" w14:textId="559C87FA" w:rsidTr="005A6062">
        <w:tc>
          <w:tcPr>
            <w:tcW w:w="5462" w:type="dxa"/>
          </w:tcPr>
          <w:p w14:paraId="70E3E57B" w14:textId="3C603EA1"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534F72C4" wp14:editId="29F29F99">
                  <wp:extent cx="3006000" cy="2160000"/>
                  <wp:effectExtent l="0" t="0" r="4445" b="0"/>
                  <wp:docPr id="14836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19276" name=""/>
                          <pic:cNvPicPr/>
                        </pic:nvPicPr>
                        <pic:blipFill>
                          <a:blip r:embed="rId47"/>
                          <a:stretch>
                            <a:fillRect/>
                          </a:stretch>
                        </pic:blipFill>
                        <pic:spPr>
                          <a:xfrm>
                            <a:off x="0" y="0"/>
                            <a:ext cx="3006000" cy="2160000"/>
                          </a:xfrm>
                          <a:prstGeom prst="rect">
                            <a:avLst/>
                          </a:prstGeom>
                        </pic:spPr>
                      </pic:pic>
                    </a:graphicData>
                  </a:graphic>
                </wp:inline>
              </w:drawing>
            </w:r>
          </w:p>
        </w:tc>
        <w:tc>
          <w:tcPr>
            <w:tcW w:w="6492" w:type="dxa"/>
          </w:tcPr>
          <w:p w14:paraId="71E79385" w14:textId="13C18358"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01D88E88" wp14:editId="6BE0966D">
                  <wp:extent cx="2970000" cy="2160000"/>
                  <wp:effectExtent l="0" t="0" r="1905" b="0"/>
                  <wp:docPr id="22799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93504" name=""/>
                          <pic:cNvPicPr/>
                        </pic:nvPicPr>
                        <pic:blipFill>
                          <a:blip r:embed="rId48"/>
                          <a:stretch>
                            <a:fillRect/>
                          </a:stretch>
                        </pic:blipFill>
                        <pic:spPr>
                          <a:xfrm>
                            <a:off x="0" y="0"/>
                            <a:ext cx="2970000" cy="2160000"/>
                          </a:xfrm>
                          <a:prstGeom prst="rect">
                            <a:avLst/>
                          </a:prstGeom>
                        </pic:spPr>
                      </pic:pic>
                    </a:graphicData>
                  </a:graphic>
                </wp:inline>
              </w:drawing>
            </w:r>
          </w:p>
        </w:tc>
        <w:tc>
          <w:tcPr>
            <w:tcW w:w="2048" w:type="dxa"/>
          </w:tcPr>
          <w:p w14:paraId="711952E4" w14:textId="7FD61CFD" w:rsidR="005A6062" w:rsidRPr="002F2F66" w:rsidRDefault="0078635F" w:rsidP="00625B2D">
            <w:pPr>
              <w:spacing w:line="360" w:lineRule="auto"/>
              <w:jc w:val="center"/>
              <w:rPr>
                <w:rFonts w:ascii="Garamond" w:hAnsi="Garamond" w:cs="Times New Roman"/>
                <w:b/>
                <w:bCs/>
                <w:noProof/>
              </w:rPr>
            </w:pPr>
            <w:r w:rsidRPr="0078635F">
              <w:rPr>
                <w:rFonts w:ascii="Garamond" w:hAnsi="Garamond" w:cs="Times New Roman"/>
                <w:b/>
                <w:bCs/>
                <w:noProof/>
              </w:rPr>
              <w:drawing>
                <wp:inline distT="0" distB="0" distL="0" distR="0" wp14:anchorId="54231669" wp14:editId="1673DA14">
                  <wp:extent cx="3067200" cy="2160000"/>
                  <wp:effectExtent l="0" t="0" r="0" b="0"/>
                  <wp:docPr id="201124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8828" name=""/>
                          <pic:cNvPicPr/>
                        </pic:nvPicPr>
                        <pic:blipFill>
                          <a:blip r:embed="rId49"/>
                          <a:stretch>
                            <a:fillRect/>
                          </a:stretch>
                        </pic:blipFill>
                        <pic:spPr>
                          <a:xfrm>
                            <a:off x="0" y="0"/>
                            <a:ext cx="3067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7C0C6D">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8" w:name="_Toc163821661"/>
      <w:r>
        <w:rPr>
          <w:rFonts w:ascii="Garamond" w:hAnsi="Garamond" w:cs="Times New Roman"/>
          <w:b/>
          <w:bCs/>
          <w:sz w:val="24"/>
          <w:szCs w:val="24"/>
        </w:rPr>
        <w:lastRenderedPageBreak/>
        <w:t>An application exercise using the SSGD v2.0</w:t>
      </w:r>
      <w:bookmarkEnd w:id="8"/>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Ecuador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9"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9"/>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2A103A62" w:rsidR="008A4765" w:rsidRDefault="00AA0C70" w:rsidP="008A4765">
      <w:pPr>
        <w:rPr>
          <w:rFonts w:ascii="Garamond" w:hAnsi="Garamond" w:cs="Times New Roman"/>
        </w:rPr>
      </w:pPr>
      <w:r>
        <w:rPr>
          <w:rFonts w:ascii="Garamond" w:hAnsi="Garamond" w:cs="Times New Roman"/>
          <w:noProof/>
        </w:rPr>
        <w:drawing>
          <wp:inline distT="0" distB="0" distL="0" distR="0" wp14:anchorId="6E4A1F0F" wp14:editId="1CFE8DAC">
            <wp:extent cx="5316627" cy="2841221"/>
            <wp:effectExtent l="0" t="0" r="0" b="0"/>
            <wp:docPr id="1708653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54747" cy="2861593"/>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ongress are women, indicating progress towards achieving gender parity. However, challenges persist: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5DFAD105"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C07E66">
        <w:rPr>
          <w:rFonts w:ascii="Garamond" w:hAnsi="Garamond" w:cs="Times New Roman"/>
          <w:b/>
          <w:bCs/>
        </w:rPr>
        <w:t>5</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166AB65D" w:rsidR="008A4765" w:rsidRDefault="003E3E27" w:rsidP="001C27D7">
      <w:pPr>
        <w:jc w:val="center"/>
        <w:rPr>
          <w:rFonts w:ascii="Garamond" w:hAnsi="Garamond" w:cs="Times New Roman"/>
        </w:rPr>
      </w:pPr>
      <w:r w:rsidRPr="003E3E27">
        <w:rPr>
          <w:noProof/>
        </w:rPr>
        <w:drawing>
          <wp:inline distT="0" distB="0" distL="0" distR="0" wp14:anchorId="730AC856" wp14:editId="5C220BF9">
            <wp:extent cx="5400040" cy="3689985"/>
            <wp:effectExtent l="0" t="0" r="0" b="5715"/>
            <wp:docPr id="1617958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89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5ADC4EA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w:t>
      </w:r>
      <w:r w:rsidR="00C07E66">
        <w:rPr>
          <w:rFonts w:ascii="Garamond" w:hAnsi="Garamond" w:cs="Times New Roman"/>
        </w:rPr>
        <w:t>5</w:t>
      </w:r>
      <w:r w:rsidRPr="004F6C5A">
        <w:rPr>
          <w:rFonts w:ascii="Garamond" w:hAnsi="Garamond" w:cs="Times New Roman"/>
        </w:rPr>
        <w:t xml:space="preserve">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10" w:name="_Toc163821663"/>
      <w:r w:rsidRPr="00080BBA">
        <w:rPr>
          <w:rFonts w:ascii="Garamond" w:hAnsi="Garamond" w:cs="Times New Roman"/>
          <w:b/>
          <w:bCs/>
        </w:rPr>
        <w:t>Comparative assessment: Peru and other Andean countries</w:t>
      </w:r>
      <w:bookmarkEnd w:id="10"/>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Ecuador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11"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11"/>
    </w:p>
    <w:p w14:paraId="1587BC96" w14:textId="68DA6026"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w:t>
      </w:r>
      <w:r w:rsidR="008E4316">
        <w:rPr>
          <w:rFonts w:ascii="Garamond" w:hAnsi="Garamond" w:cs="Times New Roman"/>
          <w:noProof/>
        </w:rPr>
        <w:t>s</w:t>
      </w:r>
      <w:r w:rsidR="00651367">
        <w:rPr>
          <w:rFonts w:ascii="Garamond" w:hAnsi="Garamond" w:cs="Times New Roman"/>
          <w:noProof/>
        </w:rPr>
        <w:t xml:space="preserve"> </w:t>
      </w:r>
      <w:r w:rsidR="008E4316">
        <w:rPr>
          <w:rFonts w:ascii="Garamond" w:hAnsi="Garamond" w:cs="Times New Roman"/>
          <w:noProof/>
        </w:rPr>
        <w:t>of</w:t>
      </w:r>
      <w:r w:rsidR="00651367">
        <w:rPr>
          <w:rFonts w:ascii="Garamond" w:hAnsi="Garamond" w:cs="Times New Roman"/>
          <w:noProof/>
        </w:rPr>
        <w:t xml:space="preserve"> providing</w:t>
      </w:r>
      <w:r>
        <w:rPr>
          <w:rFonts w:ascii="Garamond" w:hAnsi="Garamond" w:cs="Times New Roman"/>
          <w:noProof/>
        </w:rPr>
        <w:t xml:space="preserve"> visualization tools that highlight</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12" w:name="_Toc163821665"/>
      <w:r>
        <w:rPr>
          <w:rFonts w:ascii="Garamond" w:hAnsi="Garamond" w:cs="Times New Roman"/>
          <w:b/>
          <w:bCs/>
        </w:rPr>
        <w:t>Subnational analysis: Trust in people in Andean countries</w:t>
      </w:r>
      <w:bookmarkEnd w:id="12"/>
    </w:p>
    <w:p w14:paraId="5B0630FC" w14:textId="6120C4D9" w:rsidR="00D02C47" w:rsidRDefault="00E20DA3" w:rsidP="00E20DA3">
      <w:pPr>
        <w:spacing w:line="360" w:lineRule="auto"/>
        <w:jc w:val="both"/>
        <w:rPr>
          <w:rFonts w:ascii="Garamond" w:hAnsi="Garamond" w:cs="Times New Roman"/>
        </w:rPr>
      </w:pPr>
      <w:r w:rsidRPr="00E20DA3">
        <w:rPr>
          <w:rFonts w:ascii="Garamond" w:hAnsi="Garamond" w:cs="Times New Roman"/>
        </w:rPr>
        <w:t xml:space="preserve">To conclude our presentation of application examples using SSGD v2.0, we offer maps illustrating the diversity in the proportion of people expressing trust in others, focusing on Peru and its neighboring countries, Ecuador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w:t>
      </w:r>
      <w:r w:rsidR="008E4316">
        <w:rPr>
          <w:rFonts w:ascii="Garamond" w:hAnsi="Garamond" w:cs="Times New Roman"/>
        </w:rPr>
        <w:t xml:space="preserve">and </w:t>
      </w:r>
      <w:r w:rsidRPr="00E20DA3">
        <w:rPr>
          <w:rFonts w:ascii="Garamond" w:hAnsi="Garamond" w:cs="Times New Roman"/>
        </w:rPr>
        <w:t>its primary administrative divisions, revealing significant variability. Note that some data points are omitted due to the lack of information from the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61"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62"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13" w:name="_Toc163821666"/>
      <w:r w:rsidRPr="00212034">
        <w:rPr>
          <w:rFonts w:ascii="Garamond" w:hAnsi="Garamond" w:cs="Times New Roman"/>
          <w:b/>
          <w:bCs/>
          <w:sz w:val="24"/>
          <w:szCs w:val="24"/>
        </w:rPr>
        <w:lastRenderedPageBreak/>
        <w:t>Use and replicability of the SSGD v2.0</w:t>
      </w:r>
      <w:bookmarkEnd w:id="13"/>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14"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14"/>
    </w:p>
    <w:p w14:paraId="112DD8E1" w14:textId="43885292"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r w:rsidRPr="00F71651">
        <w:rPr>
          <w:rFonts w:ascii="Consolas" w:hAnsi="Consolas" w:cs="Times New Roman"/>
          <w:sz w:val="20"/>
          <w:szCs w:val="20"/>
        </w:rPr>
        <w:t>ssgd_</w:t>
      </w:r>
      <w:r w:rsidR="001D469C">
        <w:rPr>
          <w:rFonts w:ascii="Consolas" w:hAnsi="Consolas" w:cs="Times New Roman"/>
          <w:sz w:val="20"/>
          <w:szCs w:val="20"/>
        </w:rPr>
        <w:t>wide</w:t>
      </w:r>
      <w:r w:rsidRPr="00F71651">
        <w:rPr>
          <w:rFonts w:ascii="Consolas" w:hAnsi="Consolas" w:cs="Times New Roman"/>
          <w:sz w:val="20"/>
          <w:szCs w:val="20"/>
        </w:rPr>
        <w:t>.dta</w:t>
      </w:r>
      <w:r w:rsidRPr="00F71651">
        <w:rPr>
          <w:rFonts w:ascii="Garamond" w:hAnsi="Garamond" w:cs="Times New Roman"/>
        </w:rPr>
        <w:t>) and long (</w:t>
      </w:r>
      <w:r w:rsidRPr="00F71651">
        <w:rPr>
          <w:rFonts w:ascii="Consolas" w:hAnsi="Consolas" w:cs="Times New Roman"/>
          <w:sz w:val="20"/>
          <w:szCs w:val="20"/>
        </w:rPr>
        <w:t>ssgd_</w:t>
      </w:r>
      <w:r w:rsidR="001D469C">
        <w:rPr>
          <w:rFonts w:ascii="Consolas" w:hAnsi="Consolas" w:cs="Times New Roman"/>
          <w:sz w:val="20"/>
          <w:szCs w:val="20"/>
        </w:rPr>
        <w:t>long</w:t>
      </w:r>
      <w:r w:rsidRPr="00F71651">
        <w:rPr>
          <w:rFonts w:ascii="Consolas" w:hAnsi="Consolas" w:cs="Times New Roman"/>
          <w:sz w:val="20"/>
          <w:szCs w:val="20"/>
        </w:rPr>
        <w:t>.dta</w:t>
      </w:r>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15" w:name="_Toc163821668"/>
      <w:r>
        <w:rPr>
          <w:rFonts w:ascii="Garamond" w:hAnsi="Garamond" w:cs="Times New Roman"/>
          <w:b/>
          <w:bCs/>
          <w:sz w:val="24"/>
          <w:szCs w:val="24"/>
        </w:rPr>
        <w:t>Wide data format</w:t>
      </w:r>
      <w:bookmarkEnd w:id="15"/>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77CB2850"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 xml:space="preserve">As mentioned before, Appendix </w:t>
      </w:r>
      <w:r w:rsidR="00004118">
        <w:rPr>
          <w:rFonts w:ascii="Garamond" w:hAnsi="Garamond" w:cs="Times New Roman"/>
        </w:rPr>
        <w:t>A</w:t>
      </w:r>
      <w:r w:rsidR="00372165">
        <w:rPr>
          <w:rFonts w:ascii="Garamond" w:hAnsi="Garamond" w:cs="Times New Roman"/>
        </w:rPr>
        <w:t xml:space="preserve"> </w:t>
      </w:r>
      <w:r w:rsidR="00004118">
        <w:rPr>
          <w:rFonts w:ascii="Garamond" w:hAnsi="Garamond" w:cs="Times New Roman"/>
        </w:rPr>
        <w:t>provides</w:t>
      </w:r>
      <w:r w:rsidR="00372165">
        <w:rPr>
          <w:rFonts w:ascii="Garamond" w:hAnsi="Garamond" w:cs="Times New Roman"/>
        </w:rPr>
        <w:t xml:space="preserve">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 xml:space="preserve">The standardization process does not apply to </w:t>
      </w:r>
      <w:r w:rsidR="008E4316">
        <w:rPr>
          <w:rFonts w:ascii="Garamond" w:hAnsi="Garamond" w:cs="Times New Roman"/>
        </w:rPr>
        <w:t>development</w:t>
      </w:r>
      <w:r w:rsidR="00CE2435" w:rsidRPr="00E2379C">
        <w:rPr>
          <w:rFonts w:ascii="Garamond" w:hAnsi="Garamond" w:cs="Times New Roman"/>
        </w:rPr>
        <w:t xml:space="preserve">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669907AD"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4"/>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w:t>
      </w:r>
      <w:r w:rsidR="008E4316">
        <w:rPr>
          <w:rFonts w:ascii="Garamond" w:hAnsi="Garamond" w:cs="Times New Roman"/>
        </w:rPr>
        <w:t>a</w:t>
      </w:r>
      <w:r>
        <w:rPr>
          <w:rFonts w:ascii="Garamond" w:hAnsi="Garamond" w:cs="Times New Roman"/>
        </w:rPr>
        <w:t xml:space="preserve"> </w:t>
      </w:r>
      <w:r w:rsidR="008E4316">
        <w:rPr>
          <w:rFonts w:ascii="Garamond" w:hAnsi="Garamond" w:cs="Times New Roman"/>
        </w:rPr>
        <w:t>development</w:t>
      </w:r>
      <w:r>
        <w:rPr>
          <w:rFonts w:ascii="Garamond" w:hAnsi="Garamond" w:cs="Times New Roman"/>
        </w:rPr>
        <w:t xml:space="preserve"> indicator. There are five terms used: i) </w:t>
      </w:r>
      <w:r w:rsidRPr="007D010E">
        <w:rPr>
          <w:rFonts w:ascii="Consolas" w:hAnsi="Consolas" w:cs="Times New Roman"/>
          <w:sz w:val="20"/>
          <w:szCs w:val="20"/>
        </w:rPr>
        <w:t>si</w:t>
      </w:r>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r w:rsidRPr="007D010E">
        <w:rPr>
          <w:rFonts w:ascii="Consolas" w:hAnsi="Consolas" w:cs="Times New Roman"/>
          <w:sz w:val="20"/>
          <w:szCs w:val="20"/>
        </w:rPr>
        <w:t>sc</w:t>
      </w:r>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008E4316">
        <w:rPr>
          <w:rFonts w:ascii="Consolas" w:hAnsi="Consolas" w:cs="Times New Roman"/>
          <w:sz w:val="20"/>
          <w:szCs w:val="20"/>
        </w:rPr>
        <w:t>di</w:t>
      </w:r>
      <w:r>
        <w:rPr>
          <w:rFonts w:ascii="Garamond" w:hAnsi="Garamond" w:cs="Times New Roman"/>
        </w:rPr>
        <w:t xml:space="preserve"> (</w:t>
      </w:r>
      <w:r w:rsidR="008E4316">
        <w:rPr>
          <w:rFonts w:ascii="Garamond" w:hAnsi="Garamond" w:cs="Times New Roman"/>
        </w:rPr>
        <w:t>Development</w:t>
      </w:r>
      <w:r>
        <w:rPr>
          <w:rFonts w:ascii="Garamond" w:hAnsi="Garamond" w:cs="Times New Roman"/>
        </w:rPr>
        <w:t xml:space="preserve">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r w:rsidR="00150D34" w:rsidRPr="007D010E">
        <w:rPr>
          <w:rFonts w:ascii="Consolas" w:hAnsi="Consolas" w:cs="Times New Roman"/>
          <w:sz w:val="20"/>
          <w:szCs w:val="20"/>
        </w:rPr>
        <w:t>_[</w:t>
      </w:r>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r w:rsidRPr="007D010E">
        <w:rPr>
          <w:rFonts w:ascii="Consolas" w:hAnsi="Consolas" w:cs="Times New Roman"/>
          <w:sz w:val="20"/>
          <w:szCs w:val="20"/>
        </w:rPr>
        <w:t>govtra</w:t>
      </w:r>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includes metadata for all computations involved.</w:t>
      </w:r>
      <w:r w:rsidRPr="00E2379C">
        <w:rPr>
          <w:rFonts w:ascii="Garamond" w:hAnsi="Garamond" w:cs="Times New Roman"/>
        </w:rPr>
        <w:t xml:space="preserve"> In particular, it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16" w:name="_Toc163821669"/>
      <w:r>
        <w:rPr>
          <w:rFonts w:ascii="Garamond" w:hAnsi="Garamond" w:cs="Times New Roman"/>
          <w:b/>
          <w:bCs/>
          <w:sz w:val="24"/>
          <w:szCs w:val="24"/>
        </w:rPr>
        <w:t>Long data format</w:t>
      </w:r>
      <w:bookmarkEnd w:id="16"/>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4E266135" w:rsidR="00C55605" w:rsidRDefault="00C55605" w:rsidP="00C55605">
      <w:pPr>
        <w:spacing w:line="360" w:lineRule="auto"/>
        <w:jc w:val="both"/>
        <w:rPr>
          <w:rFonts w:ascii="Garamond" w:hAnsi="Garamond" w:cs="Times New Roman"/>
        </w:rPr>
      </w:pPr>
      <w:r w:rsidRPr="00C55605">
        <w:rPr>
          <w:rFonts w:ascii="Garamond" w:hAnsi="Garamond" w:cs="Times New Roman"/>
          <w:b/>
          <w:bCs/>
        </w:rPr>
        <w:t>Country</w:t>
      </w:r>
      <w:r w:rsidR="001D469C">
        <w:rPr>
          <w:rFonts w:ascii="Garamond" w:hAnsi="Garamond" w:cs="Times New Roman"/>
          <w:b/>
          <w:bCs/>
        </w:rPr>
        <w:t xml:space="preserve"> and subnational unit</w:t>
      </w:r>
      <w:r w:rsidRPr="00C55605">
        <w:rPr>
          <w:rFonts w:ascii="Garamond" w:hAnsi="Garamond" w:cs="Times New Roman"/>
          <w:b/>
          <w:bCs/>
        </w:rPr>
        <w:t xml:space="preserve"> identifiers</w:t>
      </w:r>
      <w:r w:rsidRPr="00C55605">
        <w:rPr>
          <w:rFonts w:ascii="Garamond" w:hAnsi="Garamond" w:cs="Times New Roman"/>
        </w:rPr>
        <w:t xml:space="preserve">: </w:t>
      </w:r>
      <w:r w:rsidRPr="00C55605">
        <w:rPr>
          <w:rFonts w:ascii="Consolas" w:hAnsi="Consolas" w:cs="Times New Roman"/>
          <w:sz w:val="20"/>
          <w:szCs w:val="20"/>
        </w:rPr>
        <w:t>countryname</w:t>
      </w:r>
      <w:r w:rsidRPr="00C55605">
        <w:rPr>
          <w:rFonts w:ascii="Garamond" w:hAnsi="Garamond" w:cs="Times New Roman"/>
          <w:sz w:val="20"/>
          <w:szCs w:val="20"/>
        </w:rPr>
        <w:t xml:space="preserve"> </w:t>
      </w:r>
      <w:r w:rsidRPr="00C55605">
        <w:rPr>
          <w:rFonts w:ascii="Garamond" w:hAnsi="Garamond" w:cs="Times New Roman"/>
        </w:rPr>
        <w:t xml:space="preserve">(country name), </w:t>
      </w:r>
      <w:r w:rsidRPr="00C55605">
        <w:rPr>
          <w:rFonts w:ascii="Consolas" w:hAnsi="Consolas" w:cs="Times New Roman"/>
          <w:sz w:val="20"/>
          <w:szCs w:val="20"/>
        </w:rPr>
        <w:t>countrycode</w:t>
      </w:r>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r w:rsidRPr="00C55605">
        <w:rPr>
          <w:rFonts w:ascii="Consolas" w:hAnsi="Consolas" w:cs="Times New Roman"/>
          <w:sz w:val="20"/>
          <w:szCs w:val="20"/>
        </w:rPr>
        <w:t>incomegroup</w:t>
      </w:r>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WBG classification),</w:t>
      </w:r>
      <w:r w:rsidR="001D469C">
        <w:rPr>
          <w:rFonts w:ascii="Garamond" w:hAnsi="Garamond" w:cs="Times New Roman"/>
        </w:rPr>
        <w:t xml:space="preserve">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r w:rsidR="001D469C">
        <w:rPr>
          <w:rFonts w:ascii="Garamond" w:hAnsi="Garamond" w:cs="Times New Roman"/>
        </w:rPr>
        <w:t xml:space="preserve">, </w:t>
      </w:r>
      <w:r w:rsidR="001D469C" w:rsidRPr="001D469C">
        <w:rPr>
          <w:rFonts w:ascii="Consolas" w:hAnsi="Consolas" w:cs="Times New Roman"/>
          <w:sz w:val="20"/>
          <w:szCs w:val="20"/>
        </w:rPr>
        <w:t>adm0_code</w:t>
      </w:r>
      <w:r w:rsidR="001D469C">
        <w:rPr>
          <w:rFonts w:ascii="Garamond" w:hAnsi="Garamond" w:cs="Times New Roman"/>
        </w:rPr>
        <w:t xml:space="preserve"> (similar to </w:t>
      </w:r>
      <w:r w:rsidR="001D469C" w:rsidRPr="001D469C">
        <w:rPr>
          <w:rFonts w:ascii="Consolas" w:hAnsi="Consolas" w:cs="Times New Roman"/>
          <w:sz w:val="20"/>
          <w:szCs w:val="20"/>
        </w:rPr>
        <w:t>countrycode</w:t>
      </w:r>
      <w:r w:rsidR="001D469C">
        <w:rPr>
          <w:rFonts w:ascii="Garamond" w:hAnsi="Garamond" w:cs="Times New Roman"/>
        </w:rPr>
        <w:t xml:space="preserve"> but using WBG country codes), </w:t>
      </w:r>
      <w:r w:rsidR="001D469C" w:rsidRPr="001D469C">
        <w:rPr>
          <w:rFonts w:ascii="Consolas" w:hAnsi="Consolas" w:cs="Times New Roman"/>
          <w:sz w:val="20"/>
          <w:szCs w:val="20"/>
        </w:rPr>
        <w:t>adm1_code</w:t>
      </w:r>
      <w:r w:rsidR="001D469C">
        <w:rPr>
          <w:rFonts w:ascii="Garamond" w:hAnsi="Garamond" w:cs="Times New Roman"/>
        </w:rPr>
        <w:t xml:space="preserve"> (WBG code for subnational units corresponding to the ADM1 level)</w:t>
      </w:r>
      <w:r>
        <w:rPr>
          <w:rFonts w:ascii="Garamond" w:hAnsi="Garamond" w:cs="Times New Roman"/>
        </w:rPr>
        <w:t>.</w:t>
      </w:r>
    </w:p>
    <w:p w14:paraId="5CFC960D" w14:textId="29DDCD56"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w:t>
      </w:r>
      <w:r w:rsidR="008E4316">
        <w:rPr>
          <w:rFonts w:ascii="Garamond" w:hAnsi="Garamond" w:cs="Times New Roman"/>
        </w:rPr>
        <w:t>development indicators</w:t>
      </w:r>
      <w:r w:rsidRPr="00C55605">
        <w:rPr>
          <w:rFonts w:ascii="Garamond" w:hAnsi="Garamond" w:cs="Times New Roman"/>
        </w:rPr>
        <w:t xml:space="preserve">),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412CAA80"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similar to variable labeling in the wide format except that it ignores wave information, i.e. </w:t>
      </w:r>
      <w:r w:rsidRPr="00C55605">
        <w:rPr>
          <w:rFonts w:ascii="Consolas" w:hAnsi="Consolas" w:cs="Times New Roman"/>
          <w:sz w:val="20"/>
          <w:szCs w:val="20"/>
        </w:rPr>
        <w:t>varname: [dim]_[short_name]</w:t>
      </w:r>
      <w:r w:rsidRPr="00C55605">
        <w:rPr>
          <w:rFonts w:ascii="Garamond" w:hAnsi="Garamond" w:cs="Times New Roman"/>
        </w:rPr>
        <w:t>),</w:t>
      </w:r>
      <w:r w:rsidR="001D469C">
        <w:rPr>
          <w:rFonts w:ascii="Garamond" w:hAnsi="Garamond" w:cs="Times New Roman"/>
        </w:rPr>
        <w:t xml:space="preserve"> </w:t>
      </w:r>
      <w:r w:rsidR="001D469C" w:rsidRPr="001051BD">
        <w:rPr>
          <w:rFonts w:ascii="Consolas" w:hAnsi="Consolas" w:cs="Times New Roman"/>
          <w:sz w:val="20"/>
          <w:szCs w:val="20"/>
        </w:rPr>
        <w:lastRenderedPageBreak/>
        <w:t>variable</w:t>
      </w:r>
      <w:r w:rsidR="001D469C" w:rsidRPr="001051BD">
        <w:rPr>
          <w:rFonts w:ascii="Garamond" w:hAnsi="Garamond" w:cs="Times New Roman"/>
          <w:sz w:val="20"/>
          <w:szCs w:val="20"/>
        </w:rPr>
        <w:t xml:space="preserve"> </w:t>
      </w:r>
      <w:r w:rsidR="001D469C">
        <w:rPr>
          <w:rFonts w:ascii="Garamond" w:hAnsi="Garamond" w:cs="Times New Roman"/>
        </w:rPr>
        <w:t>(which is define</w:t>
      </w:r>
      <w:r w:rsidR="008E4316">
        <w:rPr>
          <w:rFonts w:ascii="Garamond" w:hAnsi="Garamond" w:cs="Times New Roman"/>
        </w:rPr>
        <w:t>d</w:t>
      </w:r>
      <w:r w:rsidR="001D469C">
        <w:rPr>
          <w:rFonts w:ascii="Garamond" w:hAnsi="Garamond" w:cs="Times New Roman"/>
        </w:rPr>
        <w:t xml:space="preserve"> as the </w:t>
      </w:r>
      <w:r w:rsidR="001051BD">
        <w:rPr>
          <w:rFonts w:ascii="Garamond" w:hAnsi="Garamond" w:cs="Times New Roman"/>
        </w:rPr>
        <w:t>union of both</w:t>
      </w:r>
      <w:r w:rsidR="001D469C">
        <w:rPr>
          <w:rFonts w:ascii="Garamond" w:hAnsi="Garamond" w:cs="Times New Roman"/>
        </w:rPr>
        <w:t xml:space="preserve"> </w:t>
      </w:r>
      <w:r w:rsidR="001D469C" w:rsidRPr="001051BD">
        <w:rPr>
          <w:rFonts w:ascii="Consolas" w:hAnsi="Consolas" w:cs="Times New Roman"/>
          <w:sz w:val="20"/>
          <w:szCs w:val="20"/>
        </w:rPr>
        <w:t>short</w:t>
      </w:r>
      <w:r w:rsidR="001D469C">
        <w:rPr>
          <w:rFonts w:ascii="Garamond" w:hAnsi="Garamond" w:cs="Times New Roman"/>
        </w:rPr>
        <w:t xml:space="preserve"> and </w:t>
      </w:r>
      <w:r w:rsidR="001D469C" w:rsidRPr="001051BD">
        <w:rPr>
          <w:rFonts w:ascii="Consolas" w:hAnsi="Consolas" w:cs="Times New Roman"/>
          <w:sz w:val="20"/>
          <w:szCs w:val="20"/>
        </w:rPr>
        <w:t>category</w:t>
      </w:r>
      <w:r w:rsidR="001051BD">
        <w:rPr>
          <w:rFonts w:ascii="Garamond" w:hAnsi="Garamond" w:cs="Times New Roman"/>
        </w:rPr>
        <w:t xml:space="preserve"> columns</w:t>
      </w:r>
      <w:r w:rsidR="001D469C">
        <w:rPr>
          <w:rStyle w:val="FootnoteReference"/>
          <w:rFonts w:ascii="Garamond" w:hAnsi="Garamond" w:cs="Times New Roman"/>
        </w:rPr>
        <w:footnoteReference w:id="5"/>
      </w:r>
      <w:r w:rsidR="001051BD">
        <w:rPr>
          <w:rFonts w:ascii="Garamond" w:hAnsi="Garamond" w:cs="Times New Roman"/>
        </w:rPr>
        <w:t xml:space="preserve">, i.e. </w:t>
      </w:r>
      <w:r w:rsidR="001051BD" w:rsidRPr="00C55605">
        <w:rPr>
          <w:rFonts w:ascii="Consolas" w:hAnsi="Consolas" w:cs="Times New Roman"/>
          <w:sz w:val="20"/>
          <w:szCs w:val="20"/>
        </w:rPr>
        <w:t>var</w:t>
      </w:r>
      <w:r w:rsidR="001051BD">
        <w:rPr>
          <w:rFonts w:ascii="Consolas" w:hAnsi="Consolas" w:cs="Times New Roman"/>
          <w:sz w:val="20"/>
          <w:szCs w:val="20"/>
        </w:rPr>
        <w:t>iable</w:t>
      </w:r>
      <w:r w:rsidR="001051BD" w:rsidRPr="00C55605">
        <w:rPr>
          <w:rFonts w:ascii="Consolas" w:hAnsi="Consolas" w:cs="Times New Roman"/>
          <w:sz w:val="20"/>
          <w:szCs w:val="20"/>
        </w:rPr>
        <w:t>: [</w:t>
      </w:r>
      <w:r w:rsidR="001051BD">
        <w:rPr>
          <w:rFonts w:ascii="Consolas" w:hAnsi="Consolas" w:cs="Times New Roman"/>
          <w:sz w:val="20"/>
          <w:szCs w:val="20"/>
        </w:rPr>
        <w:t>short</w:t>
      </w:r>
      <w:r w:rsidR="001051BD" w:rsidRPr="00C55605">
        <w:rPr>
          <w:rFonts w:ascii="Consolas" w:hAnsi="Consolas" w:cs="Times New Roman"/>
          <w:sz w:val="20"/>
          <w:szCs w:val="20"/>
        </w:rPr>
        <w:t>]_[</w:t>
      </w:r>
      <w:r w:rsidR="001051BD">
        <w:rPr>
          <w:rFonts w:ascii="Consolas" w:hAnsi="Consolas" w:cs="Times New Roman"/>
          <w:sz w:val="20"/>
          <w:szCs w:val="20"/>
        </w:rPr>
        <w:t>category</w:t>
      </w:r>
      <w:r w:rsidR="001051BD" w:rsidRPr="00C55605">
        <w:rPr>
          <w:rFonts w:ascii="Consolas" w:hAnsi="Consolas" w:cs="Times New Roman"/>
          <w:sz w:val="20"/>
          <w:szCs w:val="20"/>
        </w:rPr>
        <w:t>]</w:t>
      </w:r>
      <w:r w:rsidR="001D469C">
        <w:rPr>
          <w:rFonts w:ascii="Garamond" w:hAnsi="Garamond" w:cs="Times New Roman"/>
        </w:rPr>
        <w:t>)</w:t>
      </w:r>
      <w:r w:rsidR="001051BD">
        <w:rPr>
          <w:rFonts w:ascii="Garamond" w:hAnsi="Garamond" w:cs="Times New Roman"/>
        </w:rPr>
        <w:t>,</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w:t>
      </w:r>
      <w:r w:rsidR="001051BD">
        <w:rPr>
          <w:rFonts w:ascii="Garamond" w:hAnsi="Garamond" w:cs="Times New Roman"/>
        </w:rPr>
        <w:t xml:space="preserve"> and</w:t>
      </w:r>
      <w:r w:rsidRPr="00C55605">
        <w:rPr>
          <w:rFonts w:ascii="Garamond" w:hAnsi="Garamond" w:cs="Times New Roman"/>
        </w:rPr>
        <w:t xml:space="preserve"> </w:t>
      </w:r>
      <w:r w:rsidRPr="001051BD">
        <w:rPr>
          <w:rFonts w:ascii="Consolas" w:hAnsi="Consolas" w:cs="Times New Roman"/>
          <w:sz w:val="20"/>
          <w:szCs w:val="20"/>
        </w:rPr>
        <w:t>definition</w:t>
      </w:r>
      <w:r w:rsidRPr="00C55605">
        <w:rPr>
          <w:rFonts w:ascii="Garamond" w:hAnsi="Garamond" w:cs="Times New Roman"/>
        </w:rPr>
        <w:t xml:space="preserve">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1F51E683" w14:textId="1AD7ECC3" w:rsidR="008E4316" w:rsidRDefault="008E4316" w:rsidP="00C55605">
      <w:pPr>
        <w:spacing w:line="360" w:lineRule="auto"/>
        <w:jc w:val="both"/>
        <w:rPr>
          <w:rFonts w:ascii="Garamond" w:hAnsi="Garamond" w:cs="Times New Roman"/>
        </w:rPr>
      </w:pPr>
      <w:r w:rsidRPr="008E4316">
        <w:rPr>
          <w:rFonts w:ascii="Garamond" w:hAnsi="Garamond" w:cs="Times New Roman"/>
          <w:b/>
          <w:bCs/>
        </w:rPr>
        <w:t>Relevance to specific Social Sustainability and Inclusion Global Practice (SSIGP) areas</w:t>
      </w:r>
      <w:r>
        <w:rPr>
          <w:rFonts w:ascii="Garamond" w:hAnsi="Garamond" w:cs="Times New Roman"/>
        </w:rPr>
        <w:t xml:space="preserve">: </w:t>
      </w:r>
      <w:r w:rsidRPr="008E4316">
        <w:rPr>
          <w:rFonts w:ascii="Consolas" w:hAnsi="Consolas" w:cs="Times New Roman"/>
          <w:sz w:val="20"/>
          <w:szCs w:val="20"/>
        </w:rPr>
        <w:t>rel_cesa</w:t>
      </w:r>
      <w:r>
        <w:rPr>
          <w:rFonts w:ascii="Garamond" w:hAnsi="Garamond" w:cs="Times New Roman"/>
        </w:rPr>
        <w:t xml:space="preserve"> is a dummy variable that highlights those indicators that are relevant for Citizen Engagement and Social Accountability; </w:t>
      </w:r>
      <w:r w:rsidRPr="008E4316">
        <w:rPr>
          <w:rFonts w:ascii="Consolas" w:hAnsi="Consolas" w:cs="Times New Roman"/>
          <w:sz w:val="20"/>
          <w:szCs w:val="20"/>
        </w:rPr>
        <w:t>rel_scorecld</w:t>
      </w:r>
      <w:r>
        <w:rPr>
          <w:rFonts w:ascii="Garamond" w:hAnsi="Garamond" w:cs="Times New Roman"/>
        </w:rPr>
        <w:t xml:space="preserve"> does the same for indicators linked to Social Cohesion and Resilience (SCORE), and Community and Local Development (CLD); finally, </w:t>
      </w:r>
      <w:r w:rsidRPr="008E4316">
        <w:rPr>
          <w:rFonts w:ascii="Consolas" w:hAnsi="Consolas" w:cs="Times New Roman"/>
          <w:sz w:val="20"/>
          <w:szCs w:val="20"/>
        </w:rPr>
        <w:t>rel_inclusion</w:t>
      </w:r>
      <w:r>
        <w:rPr>
          <w:rFonts w:ascii="Garamond" w:hAnsi="Garamond" w:cs="Times New Roman"/>
        </w:rPr>
        <w:t xml:space="preserve"> does the same for indicators linked to Inclusion. Keep in mind that while </w:t>
      </w:r>
      <w:r w:rsidRPr="008E4316">
        <w:rPr>
          <w:rFonts w:ascii="Consolas" w:hAnsi="Consolas" w:cs="Times New Roman"/>
          <w:sz w:val="20"/>
          <w:szCs w:val="20"/>
        </w:rPr>
        <w:t>dimension</w:t>
      </w:r>
      <w:r>
        <w:rPr>
          <w:rFonts w:ascii="Garamond" w:hAnsi="Garamond" w:cs="Times New Roman"/>
        </w:rPr>
        <w:t xml:space="preserve"> offers a general and corporative classification of all the indicators, </w:t>
      </w:r>
      <w:r w:rsidRPr="008E4316">
        <w:rPr>
          <w:rFonts w:ascii="Consolas" w:hAnsi="Consolas" w:cs="Times New Roman"/>
          <w:sz w:val="20"/>
          <w:szCs w:val="20"/>
        </w:rPr>
        <w:t>rel_cesa</w:t>
      </w:r>
      <w:r>
        <w:rPr>
          <w:rFonts w:ascii="Garamond" w:hAnsi="Garamond" w:cs="Times New Roman"/>
        </w:rPr>
        <w:t xml:space="preserve">, </w:t>
      </w:r>
      <w:r w:rsidRPr="008E4316">
        <w:rPr>
          <w:rFonts w:ascii="Consolas" w:hAnsi="Consolas" w:cs="Times New Roman"/>
          <w:sz w:val="20"/>
          <w:szCs w:val="20"/>
        </w:rPr>
        <w:t>rel_scorecld</w:t>
      </w:r>
      <w:r>
        <w:rPr>
          <w:rFonts w:ascii="Garamond" w:hAnsi="Garamond" w:cs="Times New Roman"/>
        </w:rPr>
        <w:t xml:space="preserve">, and </w:t>
      </w:r>
      <w:r w:rsidRPr="008E4316">
        <w:rPr>
          <w:rFonts w:ascii="Consolas" w:hAnsi="Consolas" w:cs="Times New Roman"/>
          <w:sz w:val="20"/>
          <w:szCs w:val="20"/>
        </w:rPr>
        <w:t>rel_inclusion</w:t>
      </w:r>
      <w:r>
        <w:rPr>
          <w:rFonts w:ascii="Garamond" w:hAnsi="Garamond" w:cs="Times New Roman"/>
        </w:rPr>
        <w:t xml:space="preserve"> provides alternative classifications based on SSIGP areas.</w:t>
      </w:r>
    </w:p>
    <w:p w14:paraId="72BDE89D" w14:textId="40F32379" w:rsidR="00E77317" w:rsidRPr="00E77317" w:rsidRDefault="008E4316" w:rsidP="00E77317">
      <w:pPr>
        <w:spacing w:line="360" w:lineRule="auto"/>
        <w:jc w:val="both"/>
        <w:rPr>
          <w:rFonts w:ascii="Garamond" w:hAnsi="Garamond" w:cs="Times New Roman"/>
        </w:rPr>
      </w:pPr>
      <w:r>
        <w:rPr>
          <w:rFonts w:ascii="Garamond" w:hAnsi="Garamond" w:cs="Times New Roman"/>
        </w:rPr>
        <w:t>As an application, let’s assume</w:t>
      </w:r>
      <w:r w:rsidR="00E77317"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00E77317"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r w:rsidRPr="00E77317">
        <w:rPr>
          <w:rFonts w:ascii="Consolas" w:hAnsi="Consolas" w:cs="Times New Roman"/>
          <w:sz w:val="20"/>
          <w:szCs w:val="20"/>
        </w:rPr>
        <w:t>br countryname value period if countrycode=="PER" &amp; wave==1 &amp; short=="re_govtra" &amp; area=="Subnational"</w:t>
      </w:r>
    </w:p>
    <w:p w14:paraId="5934ED5B" w14:textId="15070CB0" w:rsidR="00E77317" w:rsidRDefault="008E4316" w:rsidP="00E77317">
      <w:pPr>
        <w:spacing w:line="360" w:lineRule="auto"/>
        <w:jc w:val="both"/>
        <w:rPr>
          <w:rFonts w:ascii="Garamond" w:hAnsi="Garamond" w:cs="Times New Roman"/>
        </w:rPr>
      </w:pPr>
      <w:r>
        <w:rPr>
          <w:rFonts w:ascii="Garamond" w:hAnsi="Garamond" w:cs="Times New Roman"/>
        </w:rPr>
        <w:t>Then, the user</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17" w:name="_Toc163821670"/>
      <w:r w:rsidRPr="00212034">
        <w:rPr>
          <w:rFonts w:ascii="Garamond" w:hAnsi="Garamond" w:cs="Times New Roman"/>
          <w:b/>
          <w:bCs/>
          <w:sz w:val="24"/>
          <w:szCs w:val="24"/>
        </w:rPr>
        <w:t>Automation processes and replicability of the SSGD v2.0</w:t>
      </w:r>
      <w:bookmarkEnd w:id="17"/>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63"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repository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lastRenderedPageBreak/>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r w:rsidR="00970C30" w:rsidRPr="00117D2A">
        <w:rPr>
          <w:rFonts w:ascii="Consolas" w:hAnsi="Consolas" w:cs="Times New Roman"/>
          <w:sz w:val="20"/>
          <w:szCs w:val="20"/>
        </w:rPr>
        <w:t>datalibweb</w:t>
      </w:r>
      <w:r w:rsidR="00970C30" w:rsidRPr="00F60792">
        <w:rPr>
          <w:rFonts w:ascii="Garamond" w:hAnsi="Garamond" w:cs="Times New Roman"/>
        </w:rPr>
        <w:t xml:space="preserve"> and </w:t>
      </w:r>
      <w:r w:rsidR="00970C30" w:rsidRPr="00117D2A">
        <w:rPr>
          <w:rFonts w:ascii="Consolas" w:hAnsi="Consolas" w:cs="Times New Roman"/>
          <w:sz w:val="20"/>
          <w:szCs w:val="20"/>
        </w:rPr>
        <w:t>wbopendata</w:t>
      </w:r>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r w:rsidR="00742B30" w:rsidRPr="00117D2A">
        <w:rPr>
          <w:rFonts w:ascii="Consolas" w:hAnsi="Consolas" w:cs="Times New Roman"/>
          <w:sz w:val="20"/>
          <w:szCs w:val="20"/>
        </w:rPr>
        <w:t>datalibweb</w:t>
      </w:r>
      <w:r w:rsidR="00742B30" w:rsidRPr="00F60792">
        <w:rPr>
          <w:rFonts w:ascii="Garamond" w:hAnsi="Garamond" w:cs="Times New Roman"/>
        </w:rPr>
        <w:t xml:space="preserve"> package enables the user to access harmonized household surveys from the World Bank’s microdata library, such as GMD (</w:t>
      </w:r>
      <w:hyperlink r:id="rId69"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r w:rsidR="00742B30" w:rsidRPr="00117D2A">
        <w:rPr>
          <w:rFonts w:ascii="Consolas" w:hAnsi="Consolas" w:cs="Times New Roman"/>
          <w:sz w:val="20"/>
          <w:szCs w:val="20"/>
        </w:rPr>
        <w:t>wbopendata</w:t>
      </w:r>
      <w:r w:rsidR="00742B30" w:rsidRPr="00F60792">
        <w:rPr>
          <w:rFonts w:ascii="Garamond" w:hAnsi="Garamond" w:cs="Times New Roman"/>
        </w:rPr>
        <w:t xml:space="preserve"> package enables the user to access over 3000 indicators from the World Bank databases (</w:t>
      </w:r>
      <w:hyperlink r:id="rId70"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ssgd_v2_user_profile.R</w:t>
      </w:r>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xml:space="preserve">". It is essential to declare the same path or working directory in both </w:t>
      </w:r>
      <w:r w:rsidR="009F3570" w:rsidRPr="00E2379C">
        <w:rPr>
          <w:rFonts w:ascii="Garamond" w:hAnsi="Garamond" w:cs="Times New Roman"/>
        </w:rPr>
        <w:lastRenderedPageBreak/>
        <w:t>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r w:rsidR="00040016" w:rsidRPr="00E2379C">
        <w:rPr>
          <w:rFonts w:ascii="Garamond" w:hAnsi="Garamond" w:cs="Times New Roman"/>
        </w:rPr>
        <w:t>is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ssgd_v2_data_download_p1.R</w:t>
      </w:r>
      <w:r w:rsidR="005E77D7" w:rsidRPr="00E2379C">
        <w:rPr>
          <w:rFonts w:ascii="Garamond" w:hAnsi="Garamond" w:cs="Times New Roman"/>
        </w:rPr>
        <w:t>" and "</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6"/>
      </w:r>
      <w:r w:rsidR="00E63B1C" w:rsidRPr="00E2379C">
        <w:rPr>
          <w:rFonts w:ascii="Garamond" w:hAnsi="Garamond" w:cs="Times New Roman"/>
        </w:rPr>
        <w:t>.</w:t>
      </w:r>
    </w:p>
    <w:p w14:paraId="41E94E84" w14:textId="098B0814"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C07E66">
        <w:rPr>
          <w:rFonts w:ascii="Garamond" w:hAnsi="Garamond" w:cs="Times New Roman"/>
        </w:rPr>
        <w:t>6</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ssgd_v2_data_download_p1</w:t>
      </w:r>
      <w:r w:rsidR="002C427F" w:rsidRPr="00B16D97">
        <w:rPr>
          <w:rFonts w:ascii="Consolas" w:hAnsi="Consolas" w:cs="Times New Roman"/>
          <w:sz w:val="20"/>
          <w:szCs w:val="20"/>
        </w:rPr>
        <w:t>.R</w:t>
      </w:r>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 xml:space="preserve">All downloaded files are stored in the “raw_data”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 xml:space="preserve">Appendix </w:t>
      </w:r>
      <w:r w:rsidR="00004118">
        <w:rPr>
          <w:rFonts w:ascii="Garamond" w:hAnsi="Garamond" w:cs="Times New Roman"/>
        </w:rPr>
        <w:t>B</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647DE92"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6</w:t>
      </w:r>
      <w:r w:rsidR="00B16D97" w:rsidRPr="00212034">
        <w:rPr>
          <w:rFonts w:ascii="Garamond" w:hAnsi="Garamond" w:cs="Times New Roman"/>
          <w:b/>
          <w:bCs/>
        </w:rPr>
        <w:t xml:space="preserve">: </w:t>
      </w:r>
      <w:r w:rsidR="00252C3B" w:rsidRPr="00212034">
        <w:rPr>
          <w:rFonts w:ascii="Garamond" w:hAnsi="Garamond" w:cs="Times New Roman"/>
          <w:b/>
          <w:bCs/>
        </w:rPr>
        <w:t>Databases used: Access and download process</w:t>
      </w:r>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Source</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Registration required</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Download Type</w:t>
            </w:r>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Included</w:t>
            </w:r>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lastRenderedPageBreak/>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Included</w:t>
            </w:r>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3D1B2765"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Included</w:t>
            </w:r>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5D4A433F"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bl>
    <w:p w14:paraId="10273E81" w14:textId="77777777" w:rsidR="00F62E22" w:rsidRDefault="00F62E22" w:rsidP="000107FF">
      <w:pPr>
        <w:rPr>
          <w:rFonts w:ascii="Garamond" w:hAnsi="Garamond" w:cs="Times New Roman"/>
          <w:b/>
          <w:bCs/>
        </w:rPr>
      </w:pPr>
      <w:bookmarkStart w:id="18" w:name="_Hlk153130621"/>
    </w:p>
    <w:p w14:paraId="7AE404A0" w14:textId="7B29DD99" w:rsidR="00D64E95" w:rsidRPr="00212034" w:rsidRDefault="00D64E95" w:rsidP="000107FF">
      <w:pPr>
        <w:rPr>
          <w:rFonts w:ascii="Garamond" w:hAnsi="Garamond" w:cs="Times New Roman"/>
          <w:b/>
          <w:bCs/>
        </w:rPr>
      </w:pPr>
      <w:r w:rsidRPr="00212034">
        <w:rPr>
          <w:rFonts w:ascii="Garamond" w:hAnsi="Garamond" w:cs="Times New Roman"/>
          <w:b/>
          <w:bCs/>
        </w:rPr>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“proc_data”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“proc_data” name</w:t>
      </w:r>
      <w:r w:rsidRPr="00E2379C">
        <w:rPr>
          <w:rFonts w:ascii="Garamond" w:hAnsi="Garamond" w:cs="Times New Roman"/>
        </w:rPr>
        <w:t xml:space="preserve"> indicates that it is processed data (unlike the "raw_data"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49243A40"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r w:rsidRPr="00E2379C">
        <w:rPr>
          <w:rFonts w:ascii="Garamond" w:hAnsi="Garamond" w:cs="Times New Roman"/>
        </w:rPr>
        <w:t>ownban</w:t>
      </w:r>
      <w:r w:rsidR="00941620" w:rsidRPr="00E2379C">
        <w:rPr>
          <w:rFonts w:ascii="Garamond" w:hAnsi="Garamond" w:cs="Times New Roman"/>
        </w:rPr>
        <w:t>”</w:t>
      </w:r>
      <w:r w:rsidRPr="00E2379C">
        <w:rPr>
          <w:rFonts w:ascii="Garamond" w:hAnsi="Garamond" w:cs="Times New Roman"/>
        </w:rPr>
        <w:t xml:space="preserve"> indicator (%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BEAE9AE" w14:textId="0607C649" w:rsidR="00A67429" w:rsidRDefault="009D42EB" w:rsidP="00F62E22">
      <w:pPr>
        <w:spacing w:line="360" w:lineRule="auto"/>
        <w:jc w:val="both"/>
        <w:rPr>
          <w:rFonts w:ascii="Garamond" w:hAnsi="Garamond" w:cs="Times New Roman"/>
          <w:b/>
          <w:bCs/>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"final_data" folder will contain the final product of this master file, i.e., the data file</w:t>
      </w:r>
      <w:r w:rsidR="00DA0C28">
        <w:rPr>
          <w:rFonts w:ascii="Garamond" w:hAnsi="Garamond" w:cs="Times New Roman"/>
        </w:rPr>
        <w:t>s</w:t>
      </w:r>
      <w:r w:rsidRPr="00E2379C">
        <w:rPr>
          <w:rFonts w:ascii="Garamond" w:hAnsi="Garamond" w:cs="Times New Roman"/>
        </w:rPr>
        <w:t xml:space="preserve"> "</w:t>
      </w:r>
      <w:r w:rsidRPr="004E4F03">
        <w:rPr>
          <w:rFonts w:ascii="Consolas" w:hAnsi="Consolas" w:cs="Times New Roman"/>
          <w:sz w:val="20"/>
          <w:szCs w:val="20"/>
        </w:rPr>
        <w:t>ssgd_</w:t>
      </w:r>
      <w:r w:rsidR="00DA0C28">
        <w:rPr>
          <w:rFonts w:ascii="Consolas" w:hAnsi="Consolas" w:cs="Times New Roman"/>
          <w:sz w:val="20"/>
          <w:szCs w:val="20"/>
        </w:rPr>
        <w:t>v2_wide</w:t>
      </w:r>
      <w:r w:rsidRPr="004E4F03">
        <w:rPr>
          <w:rFonts w:ascii="Consolas" w:hAnsi="Consolas" w:cs="Times New Roman"/>
          <w:sz w:val="20"/>
          <w:szCs w:val="20"/>
        </w:rPr>
        <w:t>.dta</w:t>
      </w:r>
      <w:r w:rsidRPr="00E2379C">
        <w:rPr>
          <w:rFonts w:ascii="Garamond" w:hAnsi="Garamond" w:cs="Times New Roman"/>
        </w:rPr>
        <w:t>"</w:t>
      </w:r>
      <w:r w:rsidR="00DA0C28">
        <w:rPr>
          <w:rFonts w:ascii="Garamond" w:hAnsi="Garamond" w:cs="Times New Roman"/>
        </w:rPr>
        <w:t xml:space="preserve"> and </w:t>
      </w:r>
      <w:r w:rsidR="00DA0C28" w:rsidRPr="00E2379C">
        <w:rPr>
          <w:rFonts w:ascii="Garamond" w:hAnsi="Garamond" w:cs="Times New Roman"/>
        </w:rPr>
        <w:t>"</w:t>
      </w:r>
      <w:r w:rsidR="00DA0C28" w:rsidRPr="004E4F03">
        <w:rPr>
          <w:rFonts w:ascii="Consolas" w:hAnsi="Consolas" w:cs="Times New Roman"/>
          <w:sz w:val="20"/>
          <w:szCs w:val="20"/>
        </w:rPr>
        <w:t>ssgd_</w:t>
      </w:r>
      <w:r w:rsidR="00DA0C28">
        <w:rPr>
          <w:rFonts w:ascii="Consolas" w:hAnsi="Consolas" w:cs="Times New Roman"/>
          <w:sz w:val="20"/>
          <w:szCs w:val="20"/>
        </w:rPr>
        <w:t>v2_long</w:t>
      </w:r>
      <w:r w:rsidR="00DA0C28" w:rsidRPr="004E4F03">
        <w:rPr>
          <w:rFonts w:ascii="Consolas" w:hAnsi="Consolas" w:cs="Times New Roman"/>
          <w:sz w:val="20"/>
          <w:szCs w:val="20"/>
        </w:rPr>
        <w:t>.dta</w:t>
      </w:r>
      <w:r w:rsidR="00DA0C28" w:rsidRPr="00E2379C">
        <w:rPr>
          <w:rFonts w:ascii="Garamond" w:hAnsi="Garamond" w:cs="Times New Roman"/>
        </w:rPr>
        <w:t>"</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18"/>
    </w:p>
    <w:p w14:paraId="3E139E44" w14:textId="77777777" w:rsidR="00A67429" w:rsidRDefault="00A67429" w:rsidP="009D42EB">
      <w:pPr>
        <w:spacing w:line="360" w:lineRule="auto"/>
        <w:jc w:val="center"/>
        <w:rPr>
          <w:rFonts w:ascii="Garamond" w:hAnsi="Garamond" w:cs="Times New Roman"/>
          <w:b/>
          <w:bCs/>
        </w:rPr>
        <w:sectPr w:rsidR="00A67429" w:rsidSect="007C0C6D">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CE3FE18" w14:textId="77777777" w:rsidR="00A67429" w:rsidRDefault="00D847E7" w:rsidP="00A67429">
      <w:pPr>
        <w:spacing w:line="360" w:lineRule="auto"/>
        <w:ind w:left="-270"/>
        <w:jc w:val="center"/>
        <w:rPr>
          <w:rFonts w:ascii="Garamond" w:hAnsi="Garamond" w:cs="Times New Roman"/>
        </w:rPr>
      </w:pPr>
      <w:r w:rsidRPr="00D847E7">
        <w:rPr>
          <w:rFonts w:ascii="Garamond" w:hAnsi="Garamond" w:cs="Times New Roman"/>
          <w:noProof/>
        </w:rPr>
        <w:drawing>
          <wp:inline distT="0" distB="0" distL="0" distR="0" wp14:anchorId="176A8C5D" wp14:editId="0863EBD2">
            <wp:extent cx="8891270" cy="4356735"/>
            <wp:effectExtent l="0" t="0" r="5080" b="5715"/>
            <wp:docPr id="1501612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2681" name="Picture 1" descr="A screenshot of a computer screen&#10;&#10;Description automatically generated"/>
                    <pic:cNvPicPr/>
                  </pic:nvPicPr>
                  <pic:blipFill>
                    <a:blip r:embed="rId71"/>
                    <a:stretch>
                      <a:fillRect/>
                    </a:stretch>
                  </pic:blipFill>
                  <pic:spPr>
                    <a:xfrm>
                      <a:off x="0" y="0"/>
                      <a:ext cx="8891270" cy="4356735"/>
                    </a:xfrm>
                    <a:prstGeom prst="rect">
                      <a:avLst/>
                    </a:prstGeom>
                  </pic:spPr>
                </pic:pic>
              </a:graphicData>
            </a:graphic>
          </wp:inline>
        </w:drawing>
      </w:r>
    </w:p>
    <w:p w14:paraId="11AB5951" w14:textId="3EEE2DE4" w:rsidR="00CB215C" w:rsidRDefault="00CB215C" w:rsidP="00CB215C">
      <w:pPr>
        <w:spacing w:line="360" w:lineRule="auto"/>
        <w:ind w:left="-270" w:firstLine="270"/>
        <w:rPr>
          <w:rFonts w:ascii="Garamond" w:hAnsi="Garamond" w:cs="Times New Roman"/>
        </w:rPr>
        <w:sectPr w:rsidR="00CB215C" w:rsidSect="007C0C6D">
          <w:pgSz w:w="16838" w:h="11906" w:orient="landscape"/>
          <w:pgMar w:top="1701" w:right="1418" w:bottom="1701" w:left="1418" w:header="709" w:footer="709" w:gutter="0"/>
          <w:cols w:space="708"/>
          <w:docGrid w:linePitch="360"/>
        </w:sectPr>
      </w:pPr>
      <w:r>
        <w:rPr>
          <w:rFonts w:ascii="Garamond" w:hAnsi="Garamond" w:cs="Times New Roman"/>
        </w:rPr>
        <w:t>Source: Own elaboration.</w:t>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19" w:name="_Toc163821671"/>
      <w:r>
        <w:rPr>
          <w:rFonts w:ascii="Garamond" w:hAnsi="Garamond" w:cs="Times New Roman"/>
          <w:b/>
          <w:bCs/>
        </w:rPr>
        <w:lastRenderedPageBreak/>
        <w:t>Further improvements</w:t>
      </w:r>
      <w:bookmarkEnd w:id="19"/>
    </w:p>
    <w:p w14:paraId="47CA8601" w14:textId="6995B907"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7C0C6D">
          <w:pgSz w:w="11906" w:h="16838"/>
          <w:pgMar w:top="1417" w:right="1701" w:bottom="1417" w:left="1701" w:header="708" w:footer="708" w:gutter="0"/>
          <w:cols w:space="708"/>
          <w:docGrid w:linePitch="360"/>
        </w:sectPr>
      </w:pPr>
    </w:p>
    <w:p w14:paraId="72A4DC0A" w14:textId="5AFA2D58" w:rsidR="00BF273A" w:rsidRDefault="000F785A" w:rsidP="00BF273A">
      <w:pPr>
        <w:pStyle w:val="ListParagraph"/>
        <w:numPr>
          <w:ilvl w:val="0"/>
          <w:numId w:val="3"/>
        </w:numPr>
        <w:spacing w:line="360" w:lineRule="auto"/>
        <w:jc w:val="both"/>
        <w:outlineLvl w:val="0"/>
        <w:rPr>
          <w:rFonts w:ascii="Garamond" w:hAnsi="Garamond" w:cs="Times New Roman"/>
          <w:b/>
          <w:bCs/>
        </w:rPr>
      </w:pPr>
      <w:r>
        <w:rPr>
          <w:rFonts w:ascii="Garamond" w:hAnsi="Garamond" w:cs="Times New Roman"/>
          <w:b/>
          <w:bCs/>
        </w:rPr>
        <w:lastRenderedPageBreak/>
        <w:t>References</w:t>
      </w:r>
    </w:p>
    <w:p w14:paraId="499A04B2" w14:textId="77777777" w:rsidR="000F785A" w:rsidRPr="000F785A" w:rsidRDefault="000F785A">
      <w:pPr>
        <w:rPr>
          <w:rFonts w:ascii="Garamond" w:hAnsi="Garamond" w:cs="Times New Roman"/>
        </w:rPr>
      </w:pPr>
      <w:r w:rsidRPr="000F785A">
        <w:rPr>
          <w:rFonts w:ascii="Garamond" w:hAnsi="Garamond" w:cs="Times New Roman"/>
          <w:lang w:val="es-PE"/>
        </w:rPr>
        <w:t xml:space="preserve">Cuesta Leiva, J. A., López-Nova, B., &amp; Niño-Zarazúa, M. (2022). </w:t>
      </w:r>
      <w:r w:rsidRPr="000F785A">
        <w:rPr>
          <w:rFonts w:ascii="Garamond" w:hAnsi="Garamond" w:cs="Times New Roman"/>
        </w:rPr>
        <w:t>Social Exclusion: Concepts, Measurement, and a Global Estimate (No. 10097). The World Bank.</w:t>
      </w:r>
    </w:p>
    <w:p w14:paraId="4FE24850" w14:textId="22F41200" w:rsidR="000F785A" w:rsidRPr="000F785A" w:rsidRDefault="000F785A">
      <w:pPr>
        <w:rPr>
          <w:rFonts w:ascii="Garamond" w:hAnsi="Garamond" w:cs="Times New Roman"/>
        </w:rPr>
      </w:pPr>
      <w:r w:rsidRPr="000F785A">
        <w:rPr>
          <w:rFonts w:ascii="Garamond" w:hAnsi="Garamond" w:cs="Times New Roman"/>
          <w:lang w:val="es-PE"/>
        </w:rPr>
        <w:t xml:space="preserve">Barron, P., Cord, L., Cuesta, J., Espinoza, S., &amp; Woolcock, M. (2023). </w:t>
      </w:r>
      <w:r w:rsidRPr="000F785A">
        <w:rPr>
          <w:rFonts w:ascii="Garamond" w:hAnsi="Garamond" w:cs="Times New Roman"/>
        </w:rPr>
        <w:t>Social sustainability in development: Meeting the challenges of the 21st century. World Bank Publications.</w:t>
      </w:r>
    </w:p>
    <w:p w14:paraId="097484A5" w14:textId="4D72D674" w:rsidR="000F785A" w:rsidRDefault="000F785A">
      <w:pPr>
        <w:rPr>
          <w:rFonts w:ascii="Garamond" w:hAnsi="Garamond" w:cs="Times New Roman"/>
          <w:b/>
          <w:bCs/>
        </w:rPr>
      </w:pPr>
      <w:r>
        <w:rPr>
          <w:rFonts w:ascii="Garamond" w:hAnsi="Garamond" w:cs="Times New Roman"/>
          <w:b/>
          <w:bCs/>
        </w:rPr>
        <w:br w:type="page"/>
      </w:r>
    </w:p>
    <w:p w14:paraId="5438B3A7" w14:textId="4979E7F7" w:rsidR="000F785A" w:rsidRDefault="000F785A" w:rsidP="00BF273A">
      <w:pPr>
        <w:pStyle w:val="ListParagraph"/>
        <w:numPr>
          <w:ilvl w:val="0"/>
          <w:numId w:val="3"/>
        </w:numPr>
        <w:spacing w:line="360" w:lineRule="auto"/>
        <w:jc w:val="both"/>
        <w:outlineLvl w:val="0"/>
        <w:rPr>
          <w:rFonts w:ascii="Garamond" w:hAnsi="Garamond" w:cs="Times New Roman"/>
          <w:b/>
          <w:bCs/>
        </w:rPr>
      </w:pPr>
      <w:r>
        <w:rPr>
          <w:rFonts w:ascii="Garamond" w:hAnsi="Garamond" w:cs="Times New Roman"/>
          <w:b/>
          <w:bCs/>
        </w:rPr>
        <w:lastRenderedPageBreak/>
        <w:t>Appendix</w:t>
      </w:r>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t>Supplementary material for the SSGD v2.0</w:t>
      </w:r>
    </w:p>
    <w:p w14:paraId="4D9AD590" w14:textId="496B9B12"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w:t>
      </w:r>
      <w:r w:rsidR="00C07E66">
        <w:rPr>
          <w:rFonts w:ascii="Garamond" w:hAnsi="Garamond" w:cs="Times New Roman"/>
        </w:rPr>
        <w:t>2</w:t>
      </w:r>
      <w:r w:rsidRPr="00A67429">
        <w:rPr>
          <w:rFonts w:ascii="Garamond" w:hAnsi="Garamond" w:cs="Times New Roman"/>
        </w:rPr>
        <w:t xml:space="preserve">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7B321970" w:rsidR="00A67429" w:rsidRDefault="00000000" w:rsidP="00A67429">
      <w:pPr>
        <w:spacing w:line="360" w:lineRule="auto"/>
        <w:jc w:val="both"/>
        <w:rPr>
          <w:rFonts w:ascii="Garamond" w:hAnsi="Garamond" w:cs="Times New Roman"/>
        </w:rPr>
      </w:pPr>
      <w:hyperlink r:id="rId72" w:history="1">
        <w:r w:rsidR="008E4316">
          <w:rPr>
            <w:rStyle w:val="Hyperlink"/>
            <w:rFonts w:ascii="Garamond" w:hAnsi="Garamond" w:cs="Times New Roman"/>
          </w:rPr>
          <w:t>Link to the extended version of Table 2</w:t>
        </w:r>
      </w:hyperlink>
    </w:p>
    <w:p w14:paraId="6093CECA" w14:textId="66480E8E" w:rsidR="00A67429" w:rsidRPr="00A8096C" w:rsidRDefault="00000000" w:rsidP="00A67429">
      <w:pPr>
        <w:spacing w:line="360" w:lineRule="auto"/>
        <w:jc w:val="both"/>
        <w:rPr>
          <w:rFonts w:ascii="Garamond" w:hAnsi="Garamond" w:cs="Times New Roman"/>
        </w:rPr>
      </w:pPr>
      <w:hyperlink r:id="rId73"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Instructions to manually download selected databases</w:t>
      </w:r>
    </w:p>
    <w:p w14:paraId="1F721CE4" w14:textId="4C06C876"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web</w:t>
      </w:r>
      <w:r w:rsidR="008E4316">
        <w:rPr>
          <w:rFonts w:ascii="Garamond" w:hAnsi="Garamond" w:cs="Times New Roman"/>
        </w:rPr>
        <w:t xml:space="preserve"> </w:t>
      </w:r>
      <w:r>
        <w:rPr>
          <w:rFonts w:ascii="Garamond" w:hAnsi="Garamond" w:cs="Times New Roman"/>
        </w:rPr>
        <w:t>scrapping</w:t>
      </w:r>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r w:rsidRPr="00E2379C">
        <w:rPr>
          <w:rFonts w:ascii="Garamond" w:hAnsi="Garamond" w:cs="Times New Roman"/>
          <w:u w:val="single"/>
        </w:rPr>
        <w:t>Asianbarometer</w:t>
      </w:r>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74"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of  ASB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"raw_data"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Latinobarometro</w:t>
      </w:r>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5"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"raw_data"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6"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7"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"acled" folder inside the "raw_data"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8"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TimeSeries 1981 2022 Stata v4 0.zip", in the "Longitudinal Data Files" section at the end of the web portal. After that, the user must uncompress and copy the data files to the "wvs6_7" folder within the "raw_data"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9"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80"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.dta file with the microdata. After uncompressing the data file, the user must copy the data file to the “evs” folder within the “raw_data” folder.</w:t>
      </w:r>
    </w:p>
    <w:p w14:paraId="3795FA9D" w14:textId="1B703522"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B</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the "raw_data"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6</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3742FB">
        <w:rPr>
          <w:rFonts w:ascii="Garamond" w:hAnsi="Garamond" w:cs="Times New Roman"/>
        </w:rPr>
        <w:t>B</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7C0C6D">
          <w:pgSz w:w="11906" w:h="16838"/>
          <w:pgMar w:top="1417" w:right="1701" w:bottom="1417" w:left="1701" w:header="708" w:footer="708" w:gutter="0"/>
          <w:cols w:space="708"/>
          <w:docGrid w:linePitch="360"/>
        </w:sectPr>
      </w:pPr>
    </w:p>
    <w:p w14:paraId="3FC24686" w14:textId="36E0AB50"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Pr="00BF273A">
        <w:rPr>
          <w:rFonts w:ascii="Garamond" w:hAnsi="Garamond" w:cs="Times New Roman"/>
          <w:b/>
          <w:bCs/>
        </w:rPr>
        <w:t>.1</w:t>
      </w:r>
      <w:r>
        <w:rPr>
          <w:rFonts w:ascii="Garamond" w:hAnsi="Garamond" w:cs="Times New Roman"/>
        </w:rPr>
        <w:t>: List of data files to be manually downloaded and copied</w:t>
      </w:r>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1"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2"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3"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4"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5"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r>
    </w:tbl>
    <w:p w14:paraId="7F9B8B1E" w14:textId="77777777" w:rsidR="00726980" w:rsidRPr="00E2379C" w:rsidRDefault="00726980" w:rsidP="00BF1958">
      <w:pPr>
        <w:rPr>
          <w:rFonts w:ascii="Garamond" w:hAnsi="Garamond" w:cs="Times New Roman"/>
        </w:rPr>
        <w:sectPr w:rsidR="00726980" w:rsidRPr="00E2379C" w:rsidSect="007C0C6D">
          <w:pgSz w:w="16838" w:h="11906" w:orient="landscape"/>
          <w:pgMar w:top="1701" w:right="1418" w:bottom="1701" w:left="1418" w:header="709" w:footer="709" w:gutter="0"/>
          <w:cols w:space="708"/>
          <w:docGrid w:linePitch="360"/>
        </w:sectPr>
      </w:pPr>
    </w:p>
    <w:p w14:paraId="0D34F3C4" w14:textId="2A094E56"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007E53F1" w:rsidRPr="00BF273A">
        <w:rPr>
          <w:rFonts w:ascii="Garamond" w:hAnsi="Garamond" w:cs="Times New Roman"/>
          <w:b/>
          <w:bCs/>
        </w:rPr>
        <w:t>.2</w:t>
      </w:r>
      <w:r w:rsidR="007E53F1">
        <w:rPr>
          <w:rFonts w:ascii="Garamond" w:hAnsi="Garamond" w:cs="Times New Roman"/>
        </w:rPr>
        <w:t>: List of databases included by default</w:t>
      </w:r>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6"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7"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8"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r w:rsidRPr="00E2379C">
        <w:rPr>
          <w:rFonts w:ascii="Garamond" w:hAnsi="Garamond" w:cs="Times New Roman"/>
          <w:sz w:val="19"/>
          <w:szCs w:val="19"/>
          <w:vertAlign w:val="superscript"/>
        </w:rPr>
        <w:t>a</w:t>
      </w:r>
      <w:r w:rsidRPr="00E2379C">
        <w:rPr>
          <w:rFonts w:ascii="Garamond" w:hAnsi="Garamond" w:cs="Times New Roman"/>
          <w:sz w:val="19"/>
          <w:szCs w:val="19"/>
        </w:rPr>
        <w:t xml:space="preserve">In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5498C694"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831D7" w14:textId="77777777" w:rsidR="001F0B24" w:rsidRPr="003203D6" w:rsidRDefault="001F0B24" w:rsidP="00055BB4">
      <w:pPr>
        <w:spacing w:after="0" w:line="240" w:lineRule="auto"/>
      </w:pPr>
      <w:r w:rsidRPr="003203D6">
        <w:separator/>
      </w:r>
    </w:p>
  </w:endnote>
  <w:endnote w:type="continuationSeparator" w:id="0">
    <w:p w14:paraId="3DF1A288" w14:textId="77777777" w:rsidR="001F0B24" w:rsidRPr="003203D6" w:rsidRDefault="001F0B24"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26530" w14:textId="77777777" w:rsidR="001F0B24" w:rsidRPr="003203D6" w:rsidRDefault="001F0B24" w:rsidP="00055BB4">
      <w:pPr>
        <w:spacing w:after="0" w:line="240" w:lineRule="auto"/>
      </w:pPr>
      <w:r w:rsidRPr="003203D6">
        <w:separator/>
      </w:r>
    </w:p>
  </w:footnote>
  <w:footnote w:type="continuationSeparator" w:id="0">
    <w:p w14:paraId="21B65CC5" w14:textId="77777777" w:rsidR="001F0B24" w:rsidRPr="003203D6" w:rsidRDefault="001F0B24" w:rsidP="00055BB4">
      <w:pPr>
        <w:spacing w:after="0" w:line="240" w:lineRule="auto"/>
      </w:pPr>
      <w:r w:rsidRPr="003203D6">
        <w:continuationSeparator/>
      </w:r>
    </w:p>
  </w:footnote>
  <w:footnote w:id="1">
    <w:p w14:paraId="3212968E" w14:textId="6DC3DBB2" w:rsidR="00FD4B86" w:rsidRPr="00FD4B86" w:rsidRDefault="00FD4B86" w:rsidP="00FD4B86">
      <w:pPr>
        <w:pStyle w:val="FootnoteText"/>
        <w:jc w:val="both"/>
        <w:rPr>
          <w:rFonts w:ascii="Garamond" w:hAnsi="Garamond"/>
        </w:rPr>
      </w:pPr>
      <w:r w:rsidRPr="00FD4B86">
        <w:rPr>
          <w:rStyle w:val="FootnoteReference"/>
          <w:rFonts w:ascii="Garamond" w:hAnsi="Garamond"/>
        </w:rPr>
        <w:footnoteRef/>
      </w:r>
      <w:r w:rsidRPr="00FD4B86">
        <w:rPr>
          <w:rFonts w:ascii="Garamond" w:hAnsi="Garamond"/>
        </w:rPr>
        <w:t xml:space="preserve"> Barometers typically involve participants aged 18 and older, with some exceptions where the starting age is lower, such as 16 in Brazil and Nicaragua, and 17 in Palestine. In some Asian countries, the minimum age for being a participant is 19 or 20.</w:t>
      </w:r>
    </w:p>
  </w:footnote>
  <w:footnote w:id="2">
    <w:p w14:paraId="72DD168C" w14:textId="59C4987C" w:rsidR="00FD4B86" w:rsidRPr="006566D7" w:rsidRDefault="00FD4B86" w:rsidP="006566D7">
      <w:pPr>
        <w:pStyle w:val="FootnoteText"/>
        <w:jc w:val="both"/>
        <w:rPr>
          <w:rFonts w:ascii="Garamond" w:hAnsi="Garamond"/>
        </w:rPr>
      </w:pPr>
      <w:r w:rsidRPr="006566D7">
        <w:rPr>
          <w:rStyle w:val="FootnoteReference"/>
          <w:rFonts w:ascii="Garamond" w:hAnsi="Garamond"/>
        </w:rPr>
        <w:footnoteRef/>
      </w:r>
      <w:r w:rsidRPr="006566D7">
        <w:rPr>
          <w:rFonts w:ascii="Garamond" w:hAnsi="Garamond"/>
        </w:rPr>
        <w:t xml:space="preserve"> Notable exceptions include countries like India or China where the sample size exceeds 4000. </w:t>
      </w:r>
    </w:p>
  </w:footnote>
  <w:footnote w:id="3">
    <w:p w14:paraId="0ECBC702" w14:textId="60FDD22A" w:rsidR="006566D7" w:rsidRPr="006566D7" w:rsidRDefault="006566D7" w:rsidP="006566D7">
      <w:pPr>
        <w:pStyle w:val="FootnoteText"/>
        <w:jc w:val="both"/>
      </w:pPr>
      <w:r w:rsidRPr="006566D7">
        <w:rPr>
          <w:rStyle w:val="FootnoteReference"/>
          <w:rFonts w:ascii="Garamond" w:hAnsi="Garamond"/>
        </w:rPr>
        <w:footnoteRef/>
      </w:r>
      <w:r w:rsidRPr="006566D7">
        <w:rPr>
          <w:rFonts w:ascii="Garamond" w:hAnsi="Garamond"/>
        </w:rPr>
        <w:t xml:space="preserve"> Some exceptions include Canada, China, and Indonesia with more than 3000 observations in WVS, and Denmark, Switzerland, Germany, Italy, and Netherlands with more than 2000 interviewees in EVS.</w:t>
      </w:r>
    </w:p>
  </w:footnote>
  <w:footnote w:id="4">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5">
    <w:p w14:paraId="2FBD7BEA" w14:textId="388EE62D" w:rsidR="001D469C" w:rsidRPr="001051BD" w:rsidRDefault="001D469C" w:rsidP="001051BD">
      <w:pPr>
        <w:pStyle w:val="FootnoteText"/>
        <w:jc w:val="both"/>
        <w:rPr>
          <w:rFonts w:ascii="Garamond" w:hAnsi="Garamond"/>
        </w:rPr>
      </w:pPr>
      <w:r w:rsidRPr="001051BD">
        <w:rPr>
          <w:rStyle w:val="FootnoteReference"/>
          <w:rFonts w:ascii="Garamond" w:hAnsi="Garamond"/>
        </w:rPr>
        <w:footnoteRef/>
      </w:r>
      <w:r w:rsidRPr="001051BD">
        <w:rPr>
          <w:rFonts w:ascii="Garamond" w:hAnsi="Garamond"/>
        </w:rPr>
        <w:t xml:space="preserve"> Since the </w:t>
      </w:r>
      <w:r w:rsidRPr="001051BD">
        <w:rPr>
          <w:rFonts w:ascii="Consolas" w:hAnsi="Consolas"/>
          <w:sz w:val="18"/>
          <w:szCs w:val="18"/>
        </w:rPr>
        <w:t>category</w:t>
      </w:r>
      <w:r w:rsidRPr="001051BD">
        <w:rPr>
          <w:rFonts w:ascii="Garamond" w:hAnsi="Garamond"/>
          <w:sz w:val="18"/>
          <w:szCs w:val="18"/>
        </w:rPr>
        <w:t xml:space="preserve"> </w:t>
      </w:r>
      <w:r w:rsidRPr="001051BD">
        <w:rPr>
          <w:rFonts w:ascii="Garamond" w:hAnsi="Garamond"/>
        </w:rPr>
        <w:t xml:space="preserve">column can take country-specific values, i.e. the names of subnational units, the resulting </w:t>
      </w:r>
      <w:r w:rsidRPr="001051BD">
        <w:rPr>
          <w:rFonts w:ascii="Consolas" w:hAnsi="Consolas"/>
          <w:sz w:val="18"/>
          <w:szCs w:val="18"/>
        </w:rPr>
        <w:t>variable</w:t>
      </w:r>
      <w:r w:rsidRPr="001051BD">
        <w:rPr>
          <w:rFonts w:ascii="Garamond" w:hAnsi="Garamond"/>
        </w:rPr>
        <w:t xml:space="preserve"> column could be too large in many cases. To solve this issue, each subnational unit is assigned with a correlative number. For instance,</w:t>
      </w:r>
      <w:r w:rsidR="001051BD" w:rsidRPr="001051BD">
        <w:rPr>
          <w:rFonts w:ascii="Garamond" w:hAnsi="Garamond"/>
        </w:rPr>
        <w:t xml:space="preserve"> the</w:t>
      </w:r>
      <w:r w:rsidRPr="001051BD">
        <w:rPr>
          <w:rFonts w:ascii="Garamond" w:hAnsi="Garamond"/>
        </w:rPr>
        <w:t xml:space="preserve"> </w:t>
      </w:r>
      <w:r w:rsidR="001051BD" w:rsidRPr="001051BD">
        <w:rPr>
          <w:rFonts w:ascii="Consolas" w:hAnsi="Consolas"/>
          <w:sz w:val="18"/>
          <w:szCs w:val="18"/>
        </w:rPr>
        <w:t>‘Amazonas’</w:t>
      </w:r>
      <w:r w:rsidR="001051BD" w:rsidRPr="001051BD">
        <w:rPr>
          <w:rFonts w:ascii="Garamond" w:hAnsi="Garamond"/>
          <w:sz w:val="18"/>
          <w:szCs w:val="18"/>
        </w:rPr>
        <w:t xml:space="preserve"> </w:t>
      </w:r>
      <w:r w:rsidR="001051BD" w:rsidRPr="001051BD">
        <w:rPr>
          <w:rFonts w:ascii="Garamond" w:hAnsi="Garamond"/>
        </w:rPr>
        <w:t xml:space="preserve">department in Peru would be referred as </w:t>
      </w:r>
      <w:r w:rsidR="001051BD" w:rsidRPr="001051BD">
        <w:rPr>
          <w:rFonts w:ascii="Consolas" w:hAnsi="Consolas"/>
          <w:sz w:val="18"/>
          <w:szCs w:val="18"/>
        </w:rPr>
        <w:t>ADM1_PER1</w:t>
      </w:r>
      <w:r w:rsidR="001051BD" w:rsidRPr="001051BD">
        <w:rPr>
          <w:rFonts w:ascii="Garamond" w:hAnsi="Garamond"/>
        </w:rPr>
        <w:t>.</w:t>
      </w:r>
    </w:p>
  </w:footnote>
  <w:footnote w:id="6">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1.95pt;height:34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hOTWgCv+vC8LQAAAA=="/>
  </w:docVars>
  <w:rsids>
    <w:rsidRoot w:val="001A5684"/>
    <w:rsid w:val="00004118"/>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93AF9"/>
    <w:rsid w:val="000A5AB6"/>
    <w:rsid w:val="000B15F6"/>
    <w:rsid w:val="000C2916"/>
    <w:rsid w:val="000C71A8"/>
    <w:rsid w:val="000D1AF5"/>
    <w:rsid w:val="000D31FB"/>
    <w:rsid w:val="000D42E1"/>
    <w:rsid w:val="000E07A2"/>
    <w:rsid w:val="000E51B6"/>
    <w:rsid w:val="000F785A"/>
    <w:rsid w:val="00102AA5"/>
    <w:rsid w:val="001040C6"/>
    <w:rsid w:val="001051BD"/>
    <w:rsid w:val="00106D25"/>
    <w:rsid w:val="00107B5B"/>
    <w:rsid w:val="00111C9A"/>
    <w:rsid w:val="00112B6E"/>
    <w:rsid w:val="00117D2A"/>
    <w:rsid w:val="00125CF1"/>
    <w:rsid w:val="0013537C"/>
    <w:rsid w:val="00150D34"/>
    <w:rsid w:val="00150FBE"/>
    <w:rsid w:val="0015173D"/>
    <w:rsid w:val="00161DB4"/>
    <w:rsid w:val="00163823"/>
    <w:rsid w:val="00171739"/>
    <w:rsid w:val="00186F16"/>
    <w:rsid w:val="001910E8"/>
    <w:rsid w:val="001A09A9"/>
    <w:rsid w:val="001A41B6"/>
    <w:rsid w:val="001A5684"/>
    <w:rsid w:val="001C27D7"/>
    <w:rsid w:val="001C7DD4"/>
    <w:rsid w:val="001D0D4F"/>
    <w:rsid w:val="001D469C"/>
    <w:rsid w:val="001E4DDC"/>
    <w:rsid w:val="001E6D62"/>
    <w:rsid w:val="001F0B24"/>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C7F88"/>
    <w:rsid w:val="002D4516"/>
    <w:rsid w:val="002D6F74"/>
    <w:rsid w:val="002E4E66"/>
    <w:rsid w:val="002F2378"/>
    <w:rsid w:val="002F2F66"/>
    <w:rsid w:val="00304B42"/>
    <w:rsid w:val="00315A5B"/>
    <w:rsid w:val="00316FE7"/>
    <w:rsid w:val="003203D6"/>
    <w:rsid w:val="00323196"/>
    <w:rsid w:val="00324838"/>
    <w:rsid w:val="00331DF0"/>
    <w:rsid w:val="003416DC"/>
    <w:rsid w:val="00351FCA"/>
    <w:rsid w:val="00352A96"/>
    <w:rsid w:val="0036792C"/>
    <w:rsid w:val="00372165"/>
    <w:rsid w:val="003742FB"/>
    <w:rsid w:val="00375BD2"/>
    <w:rsid w:val="003857B3"/>
    <w:rsid w:val="00390A81"/>
    <w:rsid w:val="003A6D33"/>
    <w:rsid w:val="003B3FAE"/>
    <w:rsid w:val="003C74DC"/>
    <w:rsid w:val="003D2CDE"/>
    <w:rsid w:val="003D79F8"/>
    <w:rsid w:val="003E23FE"/>
    <w:rsid w:val="003E3E27"/>
    <w:rsid w:val="003F5E48"/>
    <w:rsid w:val="004013A6"/>
    <w:rsid w:val="00404FE4"/>
    <w:rsid w:val="0040731E"/>
    <w:rsid w:val="00416B32"/>
    <w:rsid w:val="0042320C"/>
    <w:rsid w:val="00430215"/>
    <w:rsid w:val="004304AC"/>
    <w:rsid w:val="0043068A"/>
    <w:rsid w:val="00435BDC"/>
    <w:rsid w:val="00443209"/>
    <w:rsid w:val="0044637B"/>
    <w:rsid w:val="00446AE4"/>
    <w:rsid w:val="0045357C"/>
    <w:rsid w:val="00453DC9"/>
    <w:rsid w:val="00455725"/>
    <w:rsid w:val="00463BAF"/>
    <w:rsid w:val="00470B60"/>
    <w:rsid w:val="00474EBC"/>
    <w:rsid w:val="004764D8"/>
    <w:rsid w:val="00477CC0"/>
    <w:rsid w:val="00477D26"/>
    <w:rsid w:val="00480C7C"/>
    <w:rsid w:val="004844C2"/>
    <w:rsid w:val="00486B1E"/>
    <w:rsid w:val="00487F3E"/>
    <w:rsid w:val="004A06C6"/>
    <w:rsid w:val="004A0D34"/>
    <w:rsid w:val="004A5F2B"/>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811EC"/>
    <w:rsid w:val="00593E6D"/>
    <w:rsid w:val="005A18F1"/>
    <w:rsid w:val="005A6062"/>
    <w:rsid w:val="005B7E6D"/>
    <w:rsid w:val="005D1DFB"/>
    <w:rsid w:val="005D22D3"/>
    <w:rsid w:val="005D33F2"/>
    <w:rsid w:val="005D5ABC"/>
    <w:rsid w:val="005E77D7"/>
    <w:rsid w:val="00603180"/>
    <w:rsid w:val="00613C3A"/>
    <w:rsid w:val="00614E3B"/>
    <w:rsid w:val="00616D4D"/>
    <w:rsid w:val="00624943"/>
    <w:rsid w:val="00625677"/>
    <w:rsid w:val="00625B2D"/>
    <w:rsid w:val="00631F35"/>
    <w:rsid w:val="00640193"/>
    <w:rsid w:val="00651123"/>
    <w:rsid w:val="00651367"/>
    <w:rsid w:val="00651B9B"/>
    <w:rsid w:val="006566D7"/>
    <w:rsid w:val="006617E1"/>
    <w:rsid w:val="00675C04"/>
    <w:rsid w:val="0068445B"/>
    <w:rsid w:val="00696C17"/>
    <w:rsid w:val="006B257A"/>
    <w:rsid w:val="006B3848"/>
    <w:rsid w:val="006B54F5"/>
    <w:rsid w:val="006C5780"/>
    <w:rsid w:val="006E2270"/>
    <w:rsid w:val="006F43C2"/>
    <w:rsid w:val="00712C8F"/>
    <w:rsid w:val="0071376F"/>
    <w:rsid w:val="007160E5"/>
    <w:rsid w:val="00726980"/>
    <w:rsid w:val="00741982"/>
    <w:rsid w:val="00742B30"/>
    <w:rsid w:val="00750E65"/>
    <w:rsid w:val="00767919"/>
    <w:rsid w:val="0077457D"/>
    <w:rsid w:val="00777F0F"/>
    <w:rsid w:val="0078635F"/>
    <w:rsid w:val="00791550"/>
    <w:rsid w:val="00792B07"/>
    <w:rsid w:val="007950E0"/>
    <w:rsid w:val="007A2011"/>
    <w:rsid w:val="007B5202"/>
    <w:rsid w:val="007C0C6D"/>
    <w:rsid w:val="007C6DBD"/>
    <w:rsid w:val="007D010E"/>
    <w:rsid w:val="007D3F07"/>
    <w:rsid w:val="007E1875"/>
    <w:rsid w:val="007E53F1"/>
    <w:rsid w:val="007F0450"/>
    <w:rsid w:val="00800374"/>
    <w:rsid w:val="008058F5"/>
    <w:rsid w:val="00817581"/>
    <w:rsid w:val="00820E17"/>
    <w:rsid w:val="00821A3B"/>
    <w:rsid w:val="008323CC"/>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316"/>
    <w:rsid w:val="008E4478"/>
    <w:rsid w:val="008E7250"/>
    <w:rsid w:val="008F0098"/>
    <w:rsid w:val="008F2CC2"/>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1BE5"/>
    <w:rsid w:val="009F3570"/>
    <w:rsid w:val="009F51E7"/>
    <w:rsid w:val="00A02572"/>
    <w:rsid w:val="00A24E1E"/>
    <w:rsid w:val="00A26F94"/>
    <w:rsid w:val="00A3771C"/>
    <w:rsid w:val="00A436C2"/>
    <w:rsid w:val="00A460D8"/>
    <w:rsid w:val="00A460E5"/>
    <w:rsid w:val="00A520A4"/>
    <w:rsid w:val="00A66DCA"/>
    <w:rsid w:val="00A67429"/>
    <w:rsid w:val="00A70FF5"/>
    <w:rsid w:val="00A8096C"/>
    <w:rsid w:val="00A831B1"/>
    <w:rsid w:val="00A85E18"/>
    <w:rsid w:val="00A9383F"/>
    <w:rsid w:val="00AA0622"/>
    <w:rsid w:val="00AA0C70"/>
    <w:rsid w:val="00AA7B0D"/>
    <w:rsid w:val="00AB23F8"/>
    <w:rsid w:val="00AB6DCE"/>
    <w:rsid w:val="00AD208B"/>
    <w:rsid w:val="00AD6DEA"/>
    <w:rsid w:val="00AE5EAC"/>
    <w:rsid w:val="00AF0E71"/>
    <w:rsid w:val="00AF6DED"/>
    <w:rsid w:val="00B04F83"/>
    <w:rsid w:val="00B06F88"/>
    <w:rsid w:val="00B114BD"/>
    <w:rsid w:val="00B13CEB"/>
    <w:rsid w:val="00B16D97"/>
    <w:rsid w:val="00B1790F"/>
    <w:rsid w:val="00B2586C"/>
    <w:rsid w:val="00B26766"/>
    <w:rsid w:val="00B27CA0"/>
    <w:rsid w:val="00B409FC"/>
    <w:rsid w:val="00B45309"/>
    <w:rsid w:val="00B51579"/>
    <w:rsid w:val="00B56791"/>
    <w:rsid w:val="00B65BE4"/>
    <w:rsid w:val="00B74DEF"/>
    <w:rsid w:val="00B76D6D"/>
    <w:rsid w:val="00B77C5E"/>
    <w:rsid w:val="00B809D6"/>
    <w:rsid w:val="00B81B48"/>
    <w:rsid w:val="00BB117B"/>
    <w:rsid w:val="00BB3D76"/>
    <w:rsid w:val="00BB4BEE"/>
    <w:rsid w:val="00BB580A"/>
    <w:rsid w:val="00BB7943"/>
    <w:rsid w:val="00BC1880"/>
    <w:rsid w:val="00BC2AD9"/>
    <w:rsid w:val="00BD1794"/>
    <w:rsid w:val="00BE1B60"/>
    <w:rsid w:val="00BE3AA2"/>
    <w:rsid w:val="00BE558B"/>
    <w:rsid w:val="00BF1958"/>
    <w:rsid w:val="00BF273A"/>
    <w:rsid w:val="00BF4B3E"/>
    <w:rsid w:val="00C02ED5"/>
    <w:rsid w:val="00C039C6"/>
    <w:rsid w:val="00C07E66"/>
    <w:rsid w:val="00C16A1D"/>
    <w:rsid w:val="00C1741A"/>
    <w:rsid w:val="00C23896"/>
    <w:rsid w:val="00C30EF9"/>
    <w:rsid w:val="00C376F8"/>
    <w:rsid w:val="00C42D7D"/>
    <w:rsid w:val="00C47207"/>
    <w:rsid w:val="00C4764E"/>
    <w:rsid w:val="00C47710"/>
    <w:rsid w:val="00C55605"/>
    <w:rsid w:val="00C6146A"/>
    <w:rsid w:val="00C6436B"/>
    <w:rsid w:val="00C65E87"/>
    <w:rsid w:val="00C7146A"/>
    <w:rsid w:val="00C72A0E"/>
    <w:rsid w:val="00C84179"/>
    <w:rsid w:val="00C8599D"/>
    <w:rsid w:val="00C86161"/>
    <w:rsid w:val="00C900A6"/>
    <w:rsid w:val="00CA4608"/>
    <w:rsid w:val="00CA4F25"/>
    <w:rsid w:val="00CB215C"/>
    <w:rsid w:val="00CB51BB"/>
    <w:rsid w:val="00CD194E"/>
    <w:rsid w:val="00CD718E"/>
    <w:rsid w:val="00CD7A80"/>
    <w:rsid w:val="00CE2435"/>
    <w:rsid w:val="00CE5435"/>
    <w:rsid w:val="00CF34FE"/>
    <w:rsid w:val="00CF7EE8"/>
    <w:rsid w:val="00D02C47"/>
    <w:rsid w:val="00D0592D"/>
    <w:rsid w:val="00D06BAF"/>
    <w:rsid w:val="00D13206"/>
    <w:rsid w:val="00D22F9F"/>
    <w:rsid w:val="00D30196"/>
    <w:rsid w:val="00D30292"/>
    <w:rsid w:val="00D33A17"/>
    <w:rsid w:val="00D35EE0"/>
    <w:rsid w:val="00D63182"/>
    <w:rsid w:val="00D6369B"/>
    <w:rsid w:val="00D643BF"/>
    <w:rsid w:val="00D64E95"/>
    <w:rsid w:val="00D6501E"/>
    <w:rsid w:val="00D67C50"/>
    <w:rsid w:val="00D710A1"/>
    <w:rsid w:val="00D71550"/>
    <w:rsid w:val="00D77AF0"/>
    <w:rsid w:val="00D847E7"/>
    <w:rsid w:val="00D85DBC"/>
    <w:rsid w:val="00D9095F"/>
    <w:rsid w:val="00D95C0E"/>
    <w:rsid w:val="00DA0C28"/>
    <w:rsid w:val="00DB38EC"/>
    <w:rsid w:val="00DC748D"/>
    <w:rsid w:val="00DD3BDC"/>
    <w:rsid w:val="00DD3D28"/>
    <w:rsid w:val="00DD5812"/>
    <w:rsid w:val="00DD6443"/>
    <w:rsid w:val="00DE4AEA"/>
    <w:rsid w:val="00DE6B17"/>
    <w:rsid w:val="00DE7522"/>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0BE4"/>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2D75"/>
    <w:rsid w:val="00F62E22"/>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4F33"/>
    <w:rsid w:val="00FB565F"/>
    <w:rsid w:val="00FB6A91"/>
    <w:rsid w:val="00FD2500"/>
    <w:rsid w:val="00FD4B86"/>
    <w:rsid w:val="00FD6E2C"/>
    <w:rsid w:val="00FF1193"/>
    <w:rsid w:val="00FF4997"/>
    <w:rsid w:val="00FF49B9"/>
    <w:rsid w:val="00FF75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25189009">
      <w:bodyDiv w:val="1"/>
      <w:marLeft w:val="0"/>
      <w:marRight w:val="0"/>
      <w:marTop w:val="0"/>
      <w:marBottom w:val="0"/>
      <w:divBdr>
        <w:top w:val="none" w:sz="0" w:space="0" w:color="auto"/>
        <w:left w:val="none" w:sz="0" w:space="0" w:color="auto"/>
        <w:bottom w:val="none" w:sz="0" w:space="0" w:color="auto"/>
        <w:right w:val="none" w:sz="0" w:space="0" w:color="auto"/>
      </w:divBdr>
    </w:div>
    <w:div w:id="257834292">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747920343">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885946849">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02844429">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229071378">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778481610">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iu.com/n/campaigns/democracy-index-2022/" TargetMode="External"/><Relationship Id="rId21" Type="http://schemas.openxmlformats.org/officeDocument/2006/relationships/hyperlink" Target="https://acleddata.com/"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github.com/Paola-Ballon/Social-Sustainability-Global-Database-v2.0/tree/main/documentation" TargetMode="External"/><Relationship Id="rId68" Type="http://schemas.microsoft.com/office/2007/relationships/diagramDrawing" Target="diagrams/drawing1.xml"/><Relationship Id="rId84" Type="http://schemas.openxmlformats.org/officeDocument/2006/relationships/hyperlink" Target="https://www.worldvaluessurvey.org/WVSDocumentationWVL.jsp" TargetMode="External"/><Relationship Id="rId89" Type="http://schemas.openxmlformats.org/officeDocument/2006/relationships/fontTable" Target="fontTable.xml"/><Relationship Id="rId16" Type="http://schemas.openxmlformats.org/officeDocument/2006/relationships/hyperlink" Target="https://www.worldvaluessurvey.org/wvs.jsp" TargetMode="External"/><Relationship Id="rId11" Type="http://schemas.openxmlformats.org/officeDocument/2006/relationships/footer" Target="footer1.xml"/><Relationship Id="rId32" Type="http://schemas.openxmlformats.org/officeDocument/2006/relationships/image" Target="media/image5.emf"/><Relationship Id="rId37" Type="http://schemas.openxmlformats.org/officeDocument/2006/relationships/image" Target="media/image10.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www.asianbarometer.org/data?page=d10" TargetMode="External"/><Relationship Id="rId79" Type="http://schemas.openxmlformats.org/officeDocument/2006/relationships/hyperlink" Target="https://login.gesis.org/realms/gesis/login-actions/registration?client_id=gesis-gws-client&amp;tab_id=zKStYMozrOQ" TargetMode="External"/><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hyperlink" Target="https://www.worldbank.org/en/publication/worldwide-governance-indicators" TargetMode="External"/><Relationship Id="rId14" Type="http://schemas.openxmlformats.org/officeDocument/2006/relationships/hyperlink" Target="https://www.asianbarometer.org/" TargetMode="External"/><Relationship Id="rId22" Type="http://schemas.openxmlformats.org/officeDocument/2006/relationships/hyperlink" Target="https://www.worldbank.org/en/publication/globalfindex" TargetMode="External"/><Relationship Id="rId27" Type="http://schemas.openxmlformats.org/officeDocument/2006/relationships/hyperlink" Target="https://esgdata.worldbank.org/?lang=en" TargetMode="External"/><Relationship Id="rId30" Type="http://schemas.openxmlformats.org/officeDocument/2006/relationships/hyperlink" Target="https://datacatalog.worldbank.org/int/search/dataset/0038272/world-bank-official-boundaries" TargetMode="External"/><Relationship Id="rId35" Type="http://schemas.openxmlformats.org/officeDocument/2006/relationships/image" Target="media/image8.emf"/><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diagramData" Target="diagrams/data1.xml"/><Relationship Id="rId69" Type="http://schemas.openxmlformats.org/officeDocument/2006/relationships/hyperlink" Target="http://spqsapps.worldbank.org/qs/ECA/_layouts/15/WopiFrame.aspx?sourcedoc=/qs/ECA/SiteAssets/datalibweb_Guidelines_1page.pdf&amp;action=default" TargetMode="External"/><Relationship Id="rId77" Type="http://schemas.openxmlformats.org/officeDocument/2006/relationships/hyperlink" Target="https://acleddata.com/data-export-tool/" TargetMode="External"/><Relationship Id="rId8" Type="http://schemas.openxmlformats.org/officeDocument/2006/relationships/image" Target="media/image2.png"/><Relationship Id="rId51" Type="http://schemas.openxmlformats.org/officeDocument/2006/relationships/image" Target="media/image24.emf"/><Relationship Id="rId72" Type="http://schemas.openxmlformats.org/officeDocument/2006/relationships/hyperlink" Target="https://github.com/Paola-Ballon/Social-Sustainability-Global-Database-v2.0/blob/main/documentation/supplementary_material_SSGD_v2.0.xlsx"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hyperlink" Target="https://europeanvaluesstudy.eu/methodology-data-documentation/survey-2017/full-release-evs2017/documentation-survey-2017/" TargetMode="External"/><Relationship Id="rId3" Type="http://schemas.openxmlformats.org/officeDocument/2006/relationships/styles" Target="styles.xml"/><Relationship Id="rId12" Type="http://schemas.openxmlformats.org/officeDocument/2006/relationships/hyperlink" Target="https://www.afrobarometer.org/" TargetMode="External"/><Relationship Id="rId17" Type="http://schemas.openxmlformats.org/officeDocument/2006/relationships/hyperlink" Target="https://europeanvaluesstudy.eu/" TargetMode="External"/><Relationship Id="rId25" Type="http://schemas.openxmlformats.org/officeDocument/2006/relationships/hyperlink" Target="https://wbl.worldbank.org/en/wbl" TargetMode="External"/><Relationship Id="rId33" Type="http://schemas.openxmlformats.org/officeDocument/2006/relationships/image" Target="media/image6.emf"/><Relationship Id="rId38" Type="http://schemas.openxmlformats.org/officeDocument/2006/relationships/image" Target="media/image11.emf"/><Relationship Id="rId46" Type="http://schemas.openxmlformats.org/officeDocument/2006/relationships/image" Target="media/image19.png"/><Relationship Id="rId67" Type="http://schemas.openxmlformats.org/officeDocument/2006/relationships/diagramColors" Target="diagrams/colors1.xml"/><Relationship Id="rId20" Type="http://schemas.openxmlformats.org/officeDocument/2006/relationships/hyperlink" Target="https://databank.worldbank.org/source/world-development-indicators"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10.png"/><Relationship Id="rId70" Type="http://schemas.openxmlformats.org/officeDocument/2006/relationships/hyperlink" Target="https://datahelpdesk.worldbank.org/knowledgebase/articles/889464-wbopendata-stata-module-to-access-world-bank-data" TargetMode="External"/><Relationship Id="rId75" Type="http://schemas.openxmlformats.org/officeDocument/2006/relationships/hyperlink" Target="https://www.latinobarometro.org/lat.jsp" TargetMode="External"/><Relationship Id="rId83" Type="http://schemas.openxmlformats.org/officeDocument/2006/relationships/hyperlink" Target="https://acleddata.com/data-export-tool/" TargetMode="External"/><Relationship Id="rId88" Type="http://schemas.openxmlformats.org/officeDocument/2006/relationships/hyperlink" Target="https://www.worldbank.org/en/publication/equality-of-opportunity-for-sexual-and-gender-minori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atinobarometro.org/lat.jsp" TargetMode="External"/><Relationship Id="rId23" Type="http://schemas.openxmlformats.org/officeDocument/2006/relationships/hyperlink" Target="https://monitor.civicus.org/" TargetMode="External"/><Relationship Id="rId28" Type="http://schemas.openxmlformats.org/officeDocument/2006/relationships/hyperlink" Target="https://www.worldbank.org/en/publication/equality-of-opportunity-for-sexual-and-gender-minorities"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jpeg"/><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image" Target="media/image25.jpeg"/><Relationship Id="rId65" Type="http://schemas.openxmlformats.org/officeDocument/2006/relationships/diagramLayout" Target="diagrams/layout1.xml"/><Relationship Id="rId73" Type="http://schemas.openxmlformats.org/officeDocument/2006/relationships/hyperlink" Target="https://github.com/Paola-Ballon/Social-Sustainability-Global-Database-v2.0/blob/main/documentation/SSGD%20v2.0%20codebook.xlsx" TargetMode="External"/><Relationship Id="rId78" Type="http://schemas.openxmlformats.org/officeDocument/2006/relationships/hyperlink" Target="https://www.worldvaluessurvey.org/WVSDocumentationWVL.jsp" TargetMode="External"/><Relationship Id="rId81" Type="http://schemas.openxmlformats.org/officeDocument/2006/relationships/hyperlink" Target="https://www.asianbarometer.org/data?page=d10" TargetMode="External"/><Relationship Id="rId86"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openxmlformats.org/officeDocument/2006/relationships/hyperlink" Target="https://www.arabbarometer.org/" TargetMode="External"/><Relationship Id="rId18" Type="http://schemas.openxmlformats.org/officeDocument/2006/relationships/hyperlink" Target="https://worldjusticeproject.org/" TargetMode="External"/><Relationship Id="rId39" Type="http://schemas.openxmlformats.org/officeDocument/2006/relationships/image" Target="media/image12.png"/><Relationship Id="rId34" Type="http://schemas.openxmlformats.org/officeDocument/2006/relationships/image" Target="media/image7.emf"/><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developer.acleddata.com/"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reproducibility.worldbank.org/index.php/submit-package" TargetMode="External"/><Relationship Id="rId24" Type="http://schemas.openxmlformats.org/officeDocument/2006/relationships/hyperlink" Target="https://hdr.undp.org/data-center/human-development-inde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diagramQuickStyle" Target="diagrams/quickStyle1.xml"/><Relationship Id="rId87"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 Id="rId61" Type="http://schemas.openxmlformats.org/officeDocument/2006/relationships/image" Target="media/image300.png"/><Relationship Id="rId82" Type="http://schemas.openxmlformats.org/officeDocument/2006/relationships/hyperlink" Target="https://www.latinobarometro.org/latContents.j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42</Pages>
  <Words>9734</Words>
  <Characters>53539</Characters>
  <Application>Microsoft Office Word</Application>
  <DocSecurity>0</DocSecurity>
  <Lines>446</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24</cp:revision>
  <dcterms:created xsi:type="dcterms:W3CDTF">2024-04-20T05:59:00Z</dcterms:created>
  <dcterms:modified xsi:type="dcterms:W3CDTF">2024-06-06T23:08:00Z</dcterms:modified>
</cp:coreProperties>
</file>