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56D3" w14:textId="2A11C216" w:rsidR="00FA7CDF" w:rsidRPr="00F048CA"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Pr>
          <w:rFonts w:ascii="Garamond" w:eastAsiaTheme="minorHAnsi" w:hAnsi="Garamond" w:cstheme="minorBidi"/>
          <w:b/>
          <w:bCs/>
          <w:color w:val="auto"/>
          <w:kern w:val="2"/>
          <w:sz w:val="28"/>
          <w:szCs w:val="28"/>
          <w14:ligatures w14:val="standardContextual"/>
        </w:rPr>
        <w:t>Social Sustainability</w:t>
      </w:r>
      <w:r w:rsidR="00FA7CDF" w:rsidRPr="00F048CA">
        <w:rPr>
          <w:rFonts w:ascii="Garamond" w:eastAsiaTheme="minorHAnsi" w:hAnsi="Garamond" w:cstheme="minorBidi"/>
          <w:b/>
          <w:bCs/>
          <w:color w:val="auto"/>
          <w:kern w:val="2"/>
          <w:sz w:val="28"/>
          <w:szCs w:val="28"/>
          <w14:ligatures w14:val="standardContextual"/>
        </w:rPr>
        <w:t xml:space="preserve"> Global Data Base versi</w:t>
      </w:r>
      <w:r w:rsidR="003E23FE" w:rsidRPr="00F048CA">
        <w:rPr>
          <w:rFonts w:ascii="Garamond" w:eastAsiaTheme="minorHAnsi" w:hAnsi="Garamond" w:cstheme="minorBidi"/>
          <w:b/>
          <w:bCs/>
          <w:color w:val="auto"/>
          <w:kern w:val="2"/>
          <w:sz w:val="28"/>
          <w:szCs w:val="28"/>
          <w14:ligatures w14:val="standardContextual"/>
        </w:rPr>
        <w:t>o</w:t>
      </w:r>
      <w:r w:rsidR="00FA7CDF" w:rsidRPr="00F048CA">
        <w:rPr>
          <w:rFonts w:ascii="Garamond" w:eastAsiaTheme="minorHAnsi" w:hAnsi="Garamond" w:cstheme="minorBidi"/>
          <w:b/>
          <w:bCs/>
          <w:color w:val="auto"/>
          <w:kern w:val="2"/>
          <w:sz w:val="28"/>
          <w:szCs w:val="28"/>
          <w14:ligatures w14:val="standardContextual"/>
        </w:rPr>
        <w:t>n 2.0</w:t>
      </w:r>
    </w:p>
    <w:p w14:paraId="29D30271" w14:textId="77777777" w:rsidR="00F048CA"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029E21FC" w:rsidR="00970A5F" w:rsidRPr="00970A5F" w:rsidRDefault="00970A5F" w:rsidP="00970A5F">
      <w:pPr>
        <w:pStyle w:val="ListParagraph"/>
        <w:numPr>
          <w:ilvl w:val="1"/>
          <w:numId w:val="3"/>
        </w:numPr>
        <w:spacing w:line="360" w:lineRule="auto"/>
        <w:jc w:val="both"/>
        <w:outlineLvl w:val="1"/>
        <w:rPr>
          <w:rFonts w:ascii="Garamond" w:hAnsi="Garamond" w:cs="Times New Roman"/>
          <w:b/>
          <w:bCs/>
        </w:rPr>
      </w:pPr>
      <w:bookmarkStart w:id="2" w:name="_Toc163821654"/>
      <w:r w:rsidRPr="00970A5F">
        <w:rPr>
          <w:rFonts w:ascii="Garamond" w:hAnsi="Garamond" w:cs="Times New Roman"/>
          <w:b/>
          <w:bCs/>
        </w:rPr>
        <w:lastRenderedPageBreak/>
        <w:t xml:space="preserve">The </w:t>
      </w:r>
      <w:r w:rsidR="00E268DB">
        <w:rPr>
          <w:rFonts w:ascii="Garamond" w:hAnsi="Garamond" w:cs="Times New Roman"/>
          <w:b/>
          <w:bCs/>
        </w:rPr>
        <w:t>I</w:t>
      </w:r>
      <w:r w:rsidRPr="00970A5F">
        <w:rPr>
          <w:rFonts w:ascii="Garamond" w:hAnsi="Garamond" w:cs="Times New Roman"/>
          <w:b/>
          <w:bCs/>
        </w:rPr>
        <w:t xml:space="preserve">mportance of </w:t>
      </w:r>
      <w:r w:rsidR="00535972">
        <w:rPr>
          <w:rFonts w:ascii="Garamond" w:hAnsi="Garamond" w:cs="Times New Roman"/>
          <w:b/>
          <w:bCs/>
        </w:rPr>
        <w:t>Social Sustainability</w:t>
      </w:r>
      <w:bookmarkEnd w:id="2"/>
    </w:p>
    <w:p w14:paraId="26D977D2" w14:textId="078A626B" w:rsidR="007950E0" w:rsidRDefault="00535972" w:rsidP="007950E0">
      <w:pPr>
        <w:spacing w:line="360" w:lineRule="auto"/>
        <w:jc w:val="both"/>
        <w:rPr>
          <w:rFonts w:ascii="Garamond" w:hAnsi="Garamond" w:cs="Times New Roman"/>
        </w:rPr>
      </w:pPr>
      <w:r>
        <w:rPr>
          <w:rFonts w:ascii="Garamond" w:hAnsi="Garamond" w:cs="Times New Roman"/>
        </w:rPr>
        <w:t>Social Sustainability</w:t>
      </w:r>
      <w:r w:rsidR="007950E0" w:rsidRPr="007950E0">
        <w:rPr>
          <w:rFonts w:ascii="Garamond" w:hAnsi="Garamond" w:cs="Times New Roman"/>
        </w:rPr>
        <w:t xml:space="preserve"> offers a broad framework aimed at achieving inclusive growth that transcends </w:t>
      </w:r>
      <w:r>
        <w:rPr>
          <w:rFonts w:ascii="Garamond" w:hAnsi="Garamond" w:cs="Times New Roman"/>
        </w:rPr>
        <w:t>fighting poverty, climate change</w:t>
      </w:r>
      <w:r w:rsidR="00E268DB">
        <w:rPr>
          <w:rFonts w:ascii="Garamond" w:hAnsi="Garamond" w:cs="Times New Roman"/>
        </w:rPr>
        <w:t>,</w:t>
      </w:r>
      <w:r w:rsidR="007950E0" w:rsidRPr="007950E0">
        <w:rPr>
          <w:rFonts w:ascii="Garamond" w:hAnsi="Garamond" w:cs="Times New Roman"/>
        </w:rPr>
        <w:t xml:space="preserve"> or income inequality. It emphasizes the importance of focusing on individuals and groups historically excluded from economic and social privileges, considering factors beyond income—such as gender, disability, age, sexual orientation, ethnicity, or race. The concept stresses the empowerment of people to access markets, services, and spaces, fostering a community characterized by trust, shared purpose, and resilience to withstand societal shocks. It recognizes the significance of policy legitimacy and governance in building a socially sustainable society. Conversely, societies lacking in </w:t>
      </w:r>
      <w:r>
        <w:rPr>
          <w:rFonts w:ascii="Garamond" w:hAnsi="Garamond" w:cs="Times New Roman"/>
        </w:rPr>
        <w:t>Social Sustainability</w:t>
      </w:r>
      <w:r w:rsidR="007950E0" w:rsidRPr="007950E0">
        <w:rPr>
          <w:rFonts w:ascii="Garamond" w:hAnsi="Garamond" w:cs="Times New Roman"/>
        </w:rPr>
        <w:t xml:space="preserve"> display vulnerabilities like diminished trust in institutions, fragile social contracts, limited market access, and poor governance, leading to heightened exclusion of vulnerable groups. This understanding aligns with the World Bank’s mission to eradicate extreme poverty and enhance shared prosperity, emphasizing economic growth, resilience, cohesion, and inclusion as pivotal for long-term poverty alleviation (</w:t>
      </w:r>
      <w:r w:rsidR="007950E0">
        <w:rPr>
          <w:rFonts w:ascii="Garamond" w:hAnsi="Garamond" w:cs="Times New Roman"/>
        </w:rPr>
        <w:t xml:space="preserve">as shown in the new </w:t>
      </w:r>
      <w:hyperlink r:id="rId9" w:history="1">
        <w:r w:rsidR="007950E0">
          <w:rPr>
            <w:rStyle w:val="Hyperlink"/>
            <w:rFonts w:ascii="Garamond" w:hAnsi="Garamond" w:cs="Times New Roman"/>
          </w:rPr>
          <w:t>WBG scorecard</w:t>
        </w:r>
      </w:hyperlink>
      <w:r w:rsidR="007950E0" w:rsidRPr="007950E0">
        <w:rPr>
          <w:rFonts w:ascii="Garamond" w:hAnsi="Garamond" w:cs="Times New Roman"/>
        </w:rPr>
        <w:t>).</w:t>
      </w:r>
    </w:p>
    <w:p w14:paraId="59E7A385" w14:textId="6D08F645" w:rsidR="007950E0" w:rsidRPr="00535972" w:rsidRDefault="00535972" w:rsidP="004E50B9">
      <w:pPr>
        <w:pStyle w:val="ListParagraph"/>
        <w:numPr>
          <w:ilvl w:val="1"/>
          <w:numId w:val="3"/>
        </w:numPr>
        <w:outlineLvl w:val="1"/>
        <w:rPr>
          <w:rFonts w:ascii="Garamond" w:hAnsi="Garamond" w:cs="Times New Roman"/>
          <w:b/>
          <w:bCs/>
        </w:rPr>
      </w:pPr>
      <w:bookmarkStart w:id="3" w:name="_Toc163821655"/>
      <w:r w:rsidRPr="00535972">
        <w:rPr>
          <w:rFonts w:ascii="Garamond" w:hAnsi="Garamond" w:cs="Times New Roman"/>
          <w:b/>
          <w:bCs/>
        </w:rPr>
        <w:t xml:space="preserve">The </w:t>
      </w:r>
      <w:r w:rsidR="00E268DB">
        <w:rPr>
          <w:rFonts w:ascii="Garamond" w:hAnsi="Garamond" w:cs="Times New Roman"/>
          <w:b/>
          <w:bCs/>
        </w:rPr>
        <w:t>Data G</w:t>
      </w:r>
      <w:r w:rsidRPr="00535972">
        <w:rPr>
          <w:rFonts w:ascii="Garamond" w:hAnsi="Garamond" w:cs="Times New Roman"/>
          <w:b/>
          <w:bCs/>
        </w:rPr>
        <w:t xml:space="preserve">ap in </w:t>
      </w:r>
      <w:r>
        <w:rPr>
          <w:rFonts w:ascii="Garamond" w:hAnsi="Garamond" w:cs="Times New Roman"/>
          <w:b/>
          <w:bCs/>
        </w:rPr>
        <w:t>Social Sustainability</w:t>
      </w:r>
      <w:bookmarkEnd w:id="3"/>
    </w:p>
    <w:p w14:paraId="05C1BA75" w14:textId="2BCCD921" w:rsidR="00535972" w:rsidRPr="00535972" w:rsidRDefault="00535972" w:rsidP="00535972">
      <w:pPr>
        <w:spacing w:line="360" w:lineRule="auto"/>
        <w:jc w:val="both"/>
        <w:rPr>
          <w:rFonts w:ascii="Garamond" w:hAnsi="Garamond" w:cs="Times New Roman"/>
        </w:rPr>
      </w:pPr>
      <w:r w:rsidRPr="00535972">
        <w:rPr>
          <w:rFonts w:ascii="Garamond" w:hAnsi="Garamond" w:cs="Times New Roman"/>
        </w:rPr>
        <w:t xml:space="preserve">The increasing focus on </w:t>
      </w:r>
      <w:r>
        <w:rPr>
          <w:rFonts w:ascii="Garamond" w:hAnsi="Garamond" w:cs="Times New Roman"/>
        </w:rPr>
        <w:t>Social Sustainability</w:t>
      </w:r>
      <w:r w:rsidRPr="00535972">
        <w:rPr>
          <w:rFonts w:ascii="Garamond" w:hAnsi="Garamond" w:cs="Times New Roman"/>
        </w:rPr>
        <w:t xml:space="preserve"> highlights its crucial role in guiding growth, poverty alleviation, and climate resilience. However, a significant barrier to advancing these goals lies in the fragmented and incomplete data </w:t>
      </w:r>
      <w:r>
        <w:rPr>
          <w:rFonts w:ascii="Garamond" w:hAnsi="Garamond" w:cs="Times New Roman"/>
        </w:rPr>
        <w:t>assets</w:t>
      </w:r>
      <w:r w:rsidRPr="00535972">
        <w:rPr>
          <w:rFonts w:ascii="Garamond" w:hAnsi="Garamond" w:cs="Times New Roman"/>
        </w:rPr>
        <w:t xml:space="preserve">. Current data collection and integration practices within institutions fall short </w:t>
      </w:r>
      <w:r w:rsidR="00E268DB">
        <w:rPr>
          <w:rFonts w:ascii="Garamond" w:hAnsi="Garamond" w:cs="Times New Roman"/>
        </w:rPr>
        <w:t>of</w:t>
      </w:r>
      <w:r w:rsidRPr="00535972">
        <w:rPr>
          <w:rFonts w:ascii="Garamond" w:hAnsi="Garamond" w:cs="Times New Roman"/>
        </w:rPr>
        <w:t xml:space="preserve"> capturing the multifaceted nature of </w:t>
      </w:r>
      <w:r>
        <w:rPr>
          <w:rFonts w:ascii="Garamond" w:hAnsi="Garamond" w:cs="Times New Roman"/>
        </w:rPr>
        <w:t>Social Sustainability</w:t>
      </w:r>
      <w:r w:rsidRPr="00535972">
        <w:rPr>
          <w:rFonts w:ascii="Garamond" w:hAnsi="Garamond" w:cs="Times New Roman"/>
        </w:rPr>
        <w:t xml:space="preserve">. The connection between poverty and </w:t>
      </w:r>
      <w:r>
        <w:rPr>
          <w:rFonts w:ascii="Garamond" w:hAnsi="Garamond" w:cs="Times New Roman"/>
        </w:rPr>
        <w:t>Social Sustainability</w:t>
      </w:r>
      <w:r w:rsidRPr="00535972">
        <w:rPr>
          <w:rFonts w:ascii="Garamond" w:hAnsi="Garamond" w:cs="Times New Roman"/>
        </w:rPr>
        <w:t xml:space="preserve">, while widely acknowledged, remains poorly documented within major data frameworks, revealing a gap in our understanding of their </w:t>
      </w:r>
      <w:r w:rsidR="00BB580A">
        <w:rPr>
          <w:rFonts w:ascii="Garamond" w:hAnsi="Garamond" w:cs="Times New Roman"/>
        </w:rPr>
        <w:t>relationship</w:t>
      </w:r>
      <w:r w:rsidRPr="00535972">
        <w:rPr>
          <w:rFonts w:ascii="Garamond" w:hAnsi="Garamond" w:cs="Times New Roman"/>
        </w:rPr>
        <w:t>. For instance, despite knowing that 685 million individuals lived in monetary poverty in 2022, the extent to which these</w:t>
      </w:r>
      <w:r w:rsidR="00BB580A">
        <w:rPr>
          <w:rFonts w:ascii="Garamond" w:hAnsi="Garamond" w:cs="Times New Roman"/>
        </w:rPr>
        <w:t xml:space="preserve"> and other</w:t>
      </w:r>
      <w:r w:rsidRPr="00535972">
        <w:rPr>
          <w:rFonts w:ascii="Garamond" w:hAnsi="Garamond" w:cs="Times New Roman"/>
        </w:rPr>
        <w:t xml:space="preserve"> populations face social exclusion remains largely unquantified. This lack of detailed data hampers the development of targeted strategies to combat exclusion and foster inclusive growth.</w:t>
      </w:r>
    </w:p>
    <w:p w14:paraId="0BEA2709" w14:textId="6CB2980F" w:rsidR="008C2353" w:rsidRDefault="00535972" w:rsidP="00535972">
      <w:pPr>
        <w:spacing w:line="360" w:lineRule="auto"/>
        <w:jc w:val="both"/>
        <w:rPr>
          <w:rFonts w:ascii="Garamond" w:hAnsi="Garamond" w:cs="Times New Roman"/>
        </w:rPr>
      </w:pPr>
      <w:r w:rsidRPr="00535972">
        <w:rPr>
          <w:rFonts w:ascii="Garamond" w:hAnsi="Garamond" w:cs="Times New Roman"/>
        </w:rPr>
        <w:t xml:space="preserve">Addressing this </w:t>
      </w:r>
      <w:r w:rsidR="008E7250">
        <w:rPr>
          <w:rFonts w:ascii="Garamond" w:hAnsi="Garamond" w:cs="Times New Roman"/>
        </w:rPr>
        <w:t>data shortfall</w:t>
      </w:r>
      <w:r w:rsidRPr="00535972">
        <w:rPr>
          <w:rFonts w:ascii="Garamond" w:hAnsi="Garamond" w:cs="Times New Roman"/>
        </w:rPr>
        <w:t xml:space="preserve"> requires a concerted effort to enrich the data with disaggregated information </w:t>
      </w:r>
      <w:r w:rsidR="003F5E48">
        <w:rPr>
          <w:rFonts w:ascii="Garamond" w:hAnsi="Garamond" w:cs="Times New Roman"/>
        </w:rPr>
        <w:t>regarding</w:t>
      </w:r>
      <w:r w:rsidRPr="00535972">
        <w:rPr>
          <w:rFonts w:ascii="Garamond" w:hAnsi="Garamond" w:cs="Times New Roman"/>
        </w:rPr>
        <w:t xml:space="preserve"> vulnerable populations. There is a pressing need to enhance the quality, scope, and accessibility of data segmented by gender, ethnicity, sexual orientation, disability</w:t>
      </w:r>
      <w:r w:rsidR="008E7250">
        <w:rPr>
          <w:rFonts w:ascii="Garamond" w:hAnsi="Garamond" w:cs="Times New Roman"/>
        </w:rPr>
        <w:t>, and geolocation</w:t>
      </w:r>
      <w:r w:rsidRPr="00535972">
        <w:rPr>
          <w:rFonts w:ascii="Garamond" w:hAnsi="Garamond" w:cs="Times New Roman"/>
        </w:rPr>
        <w:t xml:space="preserve">. While over 80 data platforms exist within the </w:t>
      </w:r>
      <w:r w:rsidR="003F5E48">
        <w:rPr>
          <w:rFonts w:ascii="Garamond" w:hAnsi="Garamond" w:cs="Times New Roman"/>
        </w:rPr>
        <w:t>WBG</w:t>
      </w:r>
      <w:r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4"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4"/>
    </w:p>
    <w:p w14:paraId="67C2ADDF" w14:textId="3F28EE3B" w:rsidR="008C2353" w:rsidRPr="00240C2C" w:rsidRDefault="00240C2C" w:rsidP="00240C2C">
      <w:pPr>
        <w:pStyle w:val="ListParagraph"/>
        <w:numPr>
          <w:ilvl w:val="1"/>
          <w:numId w:val="3"/>
        </w:numPr>
        <w:spacing w:line="360" w:lineRule="auto"/>
        <w:outlineLvl w:val="1"/>
        <w:rPr>
          <w:rFonts w:ascii="Garamond" w:hAnsi="Garamond" w:cs="Times New Roman"/>
          <w:b/>
          <w:bCs/>
        </w:rPr>
      </w:pPr>
      <w:bookmarkStart w:id="5" w:name="_Toc163821657"/>
      <w:r w:rsidRPr="00240C2C">
        <w:rPr>
          <w:rFonts w:ascii="Garamond" w:hAnsi="Garamond" w:cs="Times New Roman"/>
          <w:b/>
          <w:bCs/>
        </w:rPr>
        <w:t xml:space="preserve">What is </w:t>
      </w:r>
      <w:proofErr w:type="gramStart"/>
      <w:r w:rsidRPr="00240C2C">
        <w:rPr>
          <w:rFonts w:ascii="Garamond" w:hAnsi="Garamond" w:cs="Times New Roman"/>
          <w:b/>
          <w:bCs/>
        </w:rPr>
        <w:t>the SSGD</w:t>
      </w:r>
      <w:proofErr w:type="gramEnd"/>
      <w:r w:rsidRPr="00240C2C">
        <w:rPr>
          <w:rFonts w:ascii="Garamond" w:hAnsi="Garamond" w:cs="Times New Roman"/>
          <w:b/>
          <w:bCs/>
        </w:rPr>
        <w:t xml:space="preserve"> v2.0?</w:t>
      </w:r>
      <w:bookmarkEnd w:id="5"/>
    </w:p>
    <w:p w14:paraId="36C018F9" w14:textId="24438712"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 designed to encapsulate the multifaceted nature of social sustainability. This database not only compiles aggregated data at </w:t>
      </w:r>
      <w:r>
        <w:rPr>
          <w:rFonts w:ascii="Garamond" w:hAnsi="Garamond" w:cs="Times New Roman"/>
        </w:rPr>
        <w:t>the</w:t>
      </w:r>
      <w:r w:rsidRPr="00B04F83">
        <w:rPr>
          <w:rFonts w:ascii="Garamond" w:hAnsi="Garamond" w:cs="Times New Roman"/>
        </w:rPr>
        <w:t xml:space="preserve"> national level but also delves into detailed breakdowns by population groups and subnational territorial units, offering a </w:t>
      </w:r>
      <w:r>
        <w:rPr>
          <w:rFonts w:ascii="Garamond" w:hAnsi="Garamond" w:cs="Times New Roman"/>
        </w:rPr>
        <w:t>more detailed view of</w:t>
      </w:r>
      <w:r w:rsidRPr="00B04F83">
        <w:rPr>
          <w:rFonts w:ascii="Garamond" w:hAnsi="Garamond" w:cs="Times New Roman"/>
        </w:rPr>
        <w:t xml:space="preserve"> social sustainability</w:t>
      </w:r>
      <w:r>
        <w:rPr>
          <w:rFonts w:ascii="Garamond" w:hAnsi="Garamond" w:cs="Times New Roman"/>
        </w:rPr>
        <w:t xml:space="preserve"> for marginalized populations and regions</w:t>
      </w:r>
      <w:r w:rsidRPr="00B04F83">
        <w:rPr>
          <w:rFonts w:ascii="Garamond" w:hAnsi="Garamond" w:cs="Times New Roman"/>
        </w:rPr>
        <w:t xml:space="preserve">. It includes 83 primary indicators </w:t>
      </w:r>
      <w:r>
        <w:rPr>
          <w:rFonts w:ascii="Garamond" w:hAnsi="Garamond" w:cs="Times New Roman"/>
        </w:rPr>
        <w:t xml:space="preserve">directly </w:t>
      </w:r>
      <w:r w:rsidRPr="00B04F83">
        <w:rPr>
          <w:rFonts w:ascii="Garamond" w:hAnsi="Garamond" w:cs="Times New Roman"/>
        </w:rPr>
        <w:t>related to the four pillars of social sustainability: Social Inclusion, Resilience, Social Cohesion, and Process Legitimacy. Furthermore, the SSGD v2.0 enriches its dataset with 43 external indicators that are significant on their own and offer insights related to the main indicators.</w:t>
      </w:r>
      <w:r>
        <w:rPr>
          <w:rFonts w:ascii="Garamond" w:hAnsi="Garamond" w:cs="Times New Roman"/>
        </w:rPr>
        <w:t xml:space="preserve"> The SSGD v2.0 spans up to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general structure of the SSGD v2.0.</w:t>
      </w:r>
    </w:p>
    <w:p w14:paraId="444036B0" w14:textId="0984EEF7" w:rsidR="00240C2C" w:rsidRPr="00B04F83" w:rsidRDefault="00240C2C" w:rsidP="00B04F83">
      <w:pPr>
        <w:spacing w:line="360" w:lineRule="auto"/>
        <w:jc w:val="center"/>
        <w:rPr>
          <w:sz w:val="16"/>
          <w:szCs w:val="16"/>
        </w:rPr>
      </w:pPr>
      <w:r w:rsidRPr="00B04F83">
        <w:rPr>
          <w:rFonts w:ascii="Garamond" w:hAnsi="Garamond" w:cs="Times New Roman"/>
          <w:b/>
          <w:bCs/>
        </w:rPr>
        <w:t xml:space="preserve">Figure </w:t>
      </w:r>
      <w:r w:rsidR="00B04F83" w:rsidRPr="00B04F83">
        <w:rPr>
          <w:rFonts w:ascii="Garamond" w:hAnsi="Garamond" w:cs="Times New Roman"/>
          <w:b/>
          <w:bCs/>
        </w:rPr>
        <w:t>2</w:t>
      </w:r>
      <w:r>
        <w:rPr>
          <w:rFonts w:ascii="Garamond" w:hAnsi="Garamond" w:cs="Times New Roman"/>
        </w:rPr>
        <w:t xml:space="preserve">: SSGD v2.0 </w:t>
      </w:r>
      <w:r w:rsidR="00B04F83">
        <w:rPr>
          <w:rFonts w:ascii="Garamond" w:hAnsi="Garamond" w:cs="Times New Roman"/>
        </w:rPr>
        <w:t>structure</w:t>
      </w:r>
      <w:r w:rsidRPr="00821A3B">
        <w:rPr>
          <w:rFonts w:ascii="Garamond" w:hAnsi="Garamond" w:cs="Times New Roman"/>
          <w:noProof/>
        </w:rPr>
        <w:drawing>
          <wp:inline distT="0" distB="0" distL="0" distR="0" wp14:anchorId="474CBB55" wp14:editId="65BB94ED">
            <wp:extent cx="5400040" cy="3428365"/>
            <wp:effectExtent l="0" t="0" r="0" b="635"/>
            <wp:docPr id="500521337"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1337" name="Picture 1" descr="A diagram of a business model&#10;&#10;Description automatically generated"/>
                    <pic:cNvPicPr/>
                  </pic:nvPicPr>
                  <pic:blipFill>
                    <a:blip r:embed="rId10"/>
                    <a:stretch>
                      <a:fillRect/>
                    </a:stretch>
                  </pic:blipFill>
                  <pic:spPr>
                    <a:xfrm>
                      <a:off x="0" y="0"/>
                      <a:ext cx="5400040" cy="3428365"/>
                    </a:xfrm>
                    <a:prstGeom prst="rect">
                      <a:avLst/>
                    </a:prstGeom>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6E7EE868" w14:textId="3C5E7797" w:rsidR="00240C2C" w:rsidRDefault="00240C2C" w:rsidP="00240C2C">
      <w:pPr>
        <w:spacing w:line="360" w:lineRule="auto"/>
        <w:jc w:val="both"/>
        <w:rPr>
          <w:rFonts w:ascii="Garamond" w:hAnsi="Garamond" w:cs="Times New Roman"/>
        </w:rPr>
      </w:pPr>
      <w:r w:rsidRPr="00161DB4">
        <w:rPr>
          <w:rFonts w:ascii="Garamond" w:hAnsi="Garamond" w:cs="Times New Roman"/>
        </w:rPr>
        <w:t>Upon reviewing publicly accessible information disseminated across governments, academia, and various organizations, and leveraging internal resources from the World Bank, the SSGD v2.0 draws on data from 18 distinct sources.</w:t>
      </w:r>
      <w:r>
        <w:rPr>
          <w:rFonts w:ascii="Garamond" w:hAnsi="Garamond" w:cs="Times New Roman"/>
        </w:rPr>
        <w:t xml:space="preserve"> These sources include</w:t>
      </w:r>
      <w:r w:rsidRPr="00E2379C">
        <w:rPr>
          <w:rFonts w:ascii="Garamond" w:hAnsi="Garamond" w:cs="Times New Roman"/>
        </w:rPr>
        <w:t xml:space="preserve"> </w:t>
      </w:r>
      <w:r>
        <w:rPr>
          <w:rFonts w:ascii="Garamond" w:hAnsi="Garamond" w:cs="Times New Roman"/>
        </w:rPr>
        <w:t>public opinion surveys, institutional databases</w:t>
      </w:r>
      <w:r w:rsidR="00E268DB">
        <w:rPr>
          <w:rFonts w:ascii="Garamond" w:hAnsi="Garamond" w:cs="Times New Roman"/>
        </w:rPr>
        <w:t>,</w:t>
      </w:r>
      <w:r>
        <w:rPr>
          <w:rFonts w:ascii="Garamond" w:hAnsi="Garamond" w:cs="Times New Roman"/>
        </w:rPr>
        <w:t xml:space="preserve"> and repositories, research and analysis projects, law and governance initiatives, studies on the rights of sexual and gender minorities</w:t>
      </w:r>
      <w:r w:rsidR="00E268DB">
        <w:rPr>
          <w:rFonts w:ascii="Garamond" w:hAnsi="Garamond" w:cs="Times New Roman"/>
        </w:rPr>
        <w:t>,</w:t>
      </w:r>
      <w:r>
        <w:rPr>
          <w:rFonts w:ascii="Garamond" w:hAnsi="Garamond" w:cs="Times New Roman"/>
        </w:rPr>
        <w:t xml:space="preserve"> and other reports. </w:t>
      </w:r>
      <w:r w:rsidR="00FD2500" w:rsidRPr="00FD2500">
        <w:rPr>
          <w:rFonts w:ascii="Garamond" w:hAnsi="Garamond" w:cs="Times New Roman"/>
        </w:rPr>
        <w:t xml:space="preserve">In the context of working with microdata, 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r w:rsidR="00FD2500" w:rsidRPr="00FD2500">
        <w:rPr>
          <w:rFonts w:ascii="Garamond" w:hAnsi="Garamond" w:cs="Times New Roman"/>
        </w:rPr>
        <w:lastRenderedPageBreak/>
        <w:t>Naturally, these considerations are not necessary for sources with aggregated data.</w:t>
      </w:r>
      <w:r w:rsidR="00FD2500">
        <w:rPr>
          <w:rFonts w:ascii="Garamond" w:hAnsi="Garamond" w:cs="Times New Roman"/>
        </w:rPr>
        <w:t xml:space="preserve"> </w:t>
      </w:r>
      <w:r>
        <w:rPr>
          <w:rFonts w:ascii="Garamond" w:hAnsi="Garamond" w:cs="Times New Roman"/>
        </w:rPr>
        <w:t>Here is a complete list of the data sources, along with concise summaries of each</w:t>
      </w:r>
      <w:r w:rsidR="00F1771F">
        <w:rPr>
          <w:rFonts w:ascii="Garamond" w:hAnsi="Garamond" w:cs="Times New Roman"/>
        </w:rPr>
        <w:t xml:space="preserve"> (see Appendix A for source links)</w:t>
      </w:r>
      <w:r>
        <w:rPr>
          <w:rFonts w:ascii="Garamond" w:hAnsi="Garamond" w:cs="Times New Roman"/>
        </w:rPr>
        <w:t>.</w:t>
      </w:r>
    </w:p>
    <w:p w14:paraId="15A6E242"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Global Monitoring Database (GMD)</w:t>
      </w:r>
      <w:r w:rsidRPr="00BE3AA2">
        <w:rPr>
          <w:rFonts w:ascii="Garamond" w:hAnsi="Garamond" w:cs="Times New Roman"/>
        </w:rPr>
        <w:t>: Managed by the World Bank, the GMD synthesizes multi-topic household survey data, including household budget surveys and Living Standards Measurement Surveys, to construct a globally comparable database. It aims to offer globally harmonized microdata for tracking and monitoring international poverty and shared prosperity indicators, considering factors like gender, age, employment, and urban/rural status.</w:t>
      </w:r>
    </w:p>
    <w:p w14:paraId="3E42B6D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Afrobarometer (AF)</w:t>
      </w:r>
      <w:r w:rsidRPr="00BE3AA2">
        <w:rPr>
          <w:rFonts w:ascii="Garamond" w:hAnsi="Garamond" w:cs="Times New Roman"/>
        </w:rPr>
        <w:t>: An independent pan-African research network, Afrobarometer specializes in collecting data on the values, evaluations, and experiences of African citizens. It focuses on democracy, governance, economy, and society, aiming to give Africans a voice in policymaking.</w:t>
      </w:r>
    </w:p>
    <w:p w14:paraId="206D7781"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Arab Barometer (AB)</w:t>
      </w:r>
      <w:r w:rsidRPr="00BE3AA2">
        <w:rPr>
          <w:rFonts w:ascii="Garamond" w:hAnsi="Garamond" w:cs="Times New Roman"/>
        </w:rPr>
        <w:t>: The Arab Barometer offers in-depth insights into the attitudes and values of people in the Arab world towards a range of social, political, and economic issues. Through rigorous public opinion surveys, it illuminates the diverse viewpoints and needs of Arab populations, providing a valuable resource for understanding societal trends and informing policy decisions in the Middle East and North Africa.</w:t>
      </w:r>
    </w:p>
    <w:p w14:paraId="228E4D15" w14:textId="303A10A0"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Asian Barometer (ASB)</w:t>
      </w:r>
      <w:r w:rsidRPr="00BE3AA2">
        <w:rPr>
          <w:rFonts w:ascii="Garamond" w:hAnsi="Garamond" w:cs="Times New Roman"/>
        </w:rPr>
        <w:t>: The Asian Barometer Survey examines the political and social values of Asian states and territories. It seeks to foster democra</w:t>
      </w:r>
      <w:r w:rsidR="00E268DB">
        <w:rPr>
          <w:rFonts w:ascii="Garamond" w:hAnsi="Garamond" w:cs="Times New Roman"/>
        </w:rPr>
        <w:t>tic</w:t>
      </w:r>
      <w:r w:rsidRPr="00BE3AA2">
        <w:rPr>
          <w:rFonts w:ascii="Garamond" w:hAnsi="Garamond" w:cs="Times New Roman"/>
        </w:rPr>
        <w:t xml:space="preserve"> research and intellectual exchange across the region, making its findings accessible to academics, policymakers, and the public. The survey emphasizes methodological rigor and comparability, contributing to the global dialogue on democratic governance and societal change.</w:t>
      </w:r>
    </w:p>
    <w:p w14:paraId="482FE177" w14:textId="77777777" w:rsidR="00240C2C" w:rsidRPr="00BE3AA2" w:rsidRDefault="00240C2C" w:rsidP="00BE3AA2">
      <w:pPr>
        <w:spacing w:line="360" w:lineRule="auto"/>
        <w:jc w:val="both"/>
        <w:rPr>
          <w:rFonts w:ascii="Garamond" w:hAnsi="Garamond" w:cs="Times New Roman"/>
        </w:rPr>
      </w:pPr>
      <w:proofErr w:type="spellStart"/>
      <w:r w:rsidRPr="00BE3AA2">
        <w:rPr>
          <w:rFonts w:ascii="Garamond" w:hAnsi="Garamond" w:cs="Times New Roman"/>
          <w:b/>
          <w:bCs/>
        </w:rPr>
        <w:t>Latinobarometro</w:t>
      </w:r>
      <w:proofErr w:type="spellEnd"/>
      <w:r w:rsidRPr="00BE3AA2">
        <w:rPr>
          <w:rFonts w:ascii="Garamond" w:hAnsi="Garamond" w:cs="Times New Roman"/>
          <w:b/>
          <w:bCs/>
        </w:rPr>
        <w:t xml:space="preserve"> (LB)</w:t>
      </w:r>
      <w:r w:rsidRPr="00BE3AA2">
        <w:rPr>
          <w:rFonts w:ascii="Garamond" w:hAnsi="Garamond" w:cs="Times New Roman"/>
        </w:rPr>
        <w:t xml:space="preserve">: </w:t>
      </w:r>
      <w:proofErr w:type="spellStart"/>
      <w:r w:rsidRPr="00BE3AA2">
        <w:rPr>
          <w:rFonts w:ascii="Garamond" w:hAnsi="Garamond" w:cs="Times New Roman"/>
        </w:rPr>
        <w:t>Latinobarometro</w:t>
      </w:r>
      <w:proofErr w:type="spellEnd"/>
      <w:r w:rsidRPr="00BE3AA2">
        <w:rPr>
          <w:rFonts w:ascii="Garamond" w:hAnsi="Garamond" w:cs="Times New Roman"/>
        </w:rPr>
        <w:t xml:space="preserve"> surveys public opinion across Latin American countries, focusing on democracy, economic development, and societal trends. With around 20,000 interviews conducted annually, it offers a panoramic view of the region's attitudes and behaviors, serving as a valuable tool for understanding Latin America's social and political landscape.</w:t>
      </w:r>
    </w:p>
    <w:p w14:paraId="6FE96CF7"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 Values Survey (WVS)</w:t>
      </w:r>
      <w:r w:rsidRPr="00BE3AA2">
        <w:rPr>
          <w:rFonts w:ascii="Garamond" w:hAnsi="Garamond" w:cs="Times New Roman"/>
        </w:rPr>
        <w:t>: The World Values Survey is a global research initiative exploring the values and beliefs shaping societies worldwide. It facilitates understanding of how changes in values influence social, economic, and political life. The data generated are utilized by a broad range of scholars and policymakers to address questions related to development, democracy, and cultural shifts.</w:t>
      </w:r>
    </w:p>
    <w:p w14:paraId="69063EA8" w14:textId="3E9C90DC"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European Values Study (WVS)</w:t>
      </w:r>
      <w:r w:rsidRPr="00BE3AA2">
        <w:rPr>
          <w:rFonts w:ascii="Garamond" w:hAnsi="Garamond" w:cs="Times New Roman"/>
        </w:rPr>
        <w:t xml:space="preserve">: The European Value Study provides a detailed examination of the values, attitudes, and beliefs of European citizens, covering topics from family and </w:t>
      </w:r>
      <w:proofErr w:type="gramStart"/>
      <w:r w:rsidRPr="00BE3AA2">
        <w:rPr>
          <w:rFonts w:ascii="Garamond" w:hAnsi="Garamond" w:cs="Times New Roman"/>
        </w:rPr>
        <w:t>work</w:t>
      </w:r>
      <w:r w:rsidR="00E268DB">
        <w:rPr>
          <w:rFonts w:ascii="Garamond" w:hAnsi="Garamond" w:cs="Times New Roman"/>
        </w:rPr>
        <w:t>s</w:t>
      </w:r>
      <w:proofErr w:type="gramEnd"/>
      <w:r w:rsidRPr="00BE3AA2">
        <w:rPr>
          <w:rFonts w:ascii="Garamond" w:hAnsi="Garamond" w:cs="Times New Roman"/>
        </w:rPr>
        <w:t xml:space="preserve"> to politics and religion. By conducting repeated cross-sectional surveys, it tracks changes in European values over time, offering invaluable insights for researchers and policymakers interested in the continent's social dynamics.</w:t>
      </w:r>
    </w:p>
    <w:p w14:paraId="2F9EA7D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lastRenderedPageBreak/>
        <w:t>World Justice Project (WJP)</w:t>
      </w:r>
      <w:r w:rsidRPr="00BE3AA2">
        <w:rPr>
          <w:rFonts w:ascii="Garamond" w:hAnsi="Garamond" w:cs="Times New Roman"/>
        </w:rPr>
        <w:t>: The World Justice Project is dedicated to advancing the rule of law worldwide, emphasizing its role in ensuring justice, economic opportunity, and respect for fundamental rights. Through multidisciplinary research and advocacy, this initiative strives to engage a broad spectrum of stakeholders in efforts to promote effective governance and the rule of law. It generates the extensively referenced Rule of Law Index.</w:t>
      </w:r>
    </w:p>
    <w:p w14:paraId="7499EA20"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Worldwide Governance Indicators (WGI)</w:t>
      </w:r>
      <w:r w:rsidRPr="00BE3AA2">
        <w:rPr>
          <w:rFonts w:ascii="Garamond" w:hAnsi="Garamond" w:cs="Times New Roman"/>
        </w:rPr>
        <w:t>: The Worldwide Governance Indicators project compiles data from a variety of sources to provide comprehensive assessments of governance quality globally. By highlighting patterns in governance perceptions, this initiative aids in the analysis of governance-related challenges and opportunities, serving as a resource for policymakers, researchers, and civil society.</w:t>
      </w:r>
    </w:p>
    <w:p w14:paraId="4FB7B39A"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 Development Indicators (WDI)</w:t>
      </w:r>
      <w:r w:rsidRPr="00BE3AA2">
        <w:rPr>
          <w:rFonts w:ascii="Garamond" w:hAnsi="Garamond" w:cs="Times New Roman"/>
        </w:rPr>
        <w:t>: As the World Bank's primary database for development data, the World Development Indicators data portal offers extensive statistics on global development, including economic, social, and environmental indicators. It serves as a critical resource for tracking development progress and informing global policy discussions.</w:t>
      </w:r>
    </w:p>
    <w:p w14:paraId="5571FD07"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Armed Conflict Location &amp; Event Data Project (ACLED)</w:t>
      </w:r>
      <w:r w:rsidRPr="00BE3AA2">
        <w:rPr>
          <w:rFonts w:ascii="Garamond" w:hAnsi="Garamond" w:cs="Times New Roman"/>
        </w:rPr>
        <w:t>: The Armed Conflict Location &amp; Event Data Project provides detailed, real-time data on political violence and protests worldwide. By offering disaggregated conflict data, it supports conflict analysis and crisis mapping, contributing to a deeper understanding of global conflict patterns and dynamics.</w:t>
      </w:r>
    </w:p>
    <w:p w14:paraId="1104C678"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The Global Findex Database (FINDEX)</w:t>
      </w:r>
      <w:r w:rsidRPr="00BE3AA2">
        <w:rPr>
          <w:rFonts w:ascii="Garamond" w:hAnsi="Garamond" w:cs="Times New Roman"/>
        </w:rPr>
        <w:t>: Since 2011, the Global Findex Database has been providing crucial data on global access to financial services, offering insights into financial inclusion, digital payments, and the behaviors fostering financial resilience.</w:t>
      </w:r>
    </w:p>
    <w:p w14:paraId="7F3EA3A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CIVICUS Monitor (CIVICUS)</w:t>
      </w:r>
      <w:r w:rsidRPr="00BE3AA2">
        <w:rPr>
          <w:rFonts w:ascii="Garamond" w:hAnsi="Garamond" w:cs="Times New Roman"/>
        </w:rPr>
        <w:t>: The CIVICUS Monitor offers near-real-time data on the health of civil society and civic freedoms in 196 countries. Through collaborations with civil society partners, it provides updated assessments of civic space, informing advocacy and policy efforts aimed at protecting civic freedoms.</w:t>
      </w:r>
    </w:p>
    <w:p w14:paraId="211981D5"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 xml:space="preserve">United Nations Development </w:t>
      </w:r>
      <w:proofErr w:type="spellStart"/>
      <w:r w:rsidRPr="00BE3AA2">
        <w:rPr>
          <w:rFonts w:ascii="Garamond" w:hAnsi="Garamond" w:cs="Times New Roman"/>
          <w:b/>
          <w:bCs/>
        </w:rPr>
        <w:t>Programme</w:t>
      </w:r>
      <w:proofErr w:type="spellEnd"/>
      <w:r w:rsidRPr="00BE3AA2">
        <w:rPr>
          <w:rFonts w:ascii="Garamond" w:hAnsi="Garamond" w:cs="Times New Roman"/>
          <w:b/>
          <w:bCs/>
        </w:rPr>
        <w:t xml:space="preserve"> (UNDP)</w:t>
      </w:r>
      <w:r w:rsidRPr="00BE3AA2">
        <w:rPr>
          <w:rFonts w:ascii="Garamond" w:hAnsi="Garamond" w:cs="Times New Roman"/>
        </w:rPr>
        <w:t xml:space="preserve">: The United Nations Development </w:t>
      </w:r>
      <w:proofErr w:type="spellStart"/>
      <w:r w:rsidRPr="00BE3AA2">
        <w:rPr>
          <w:rFonts w:ascii="Garamond" w:hAnsi="Garamond" w:cs="Times New Roman"/>
        </w:rPr>
        <w:t>Programme</w:t>
      </w:r>
      <w:proofErr w:type="spellEnd"/>
      <w:r w:rsidRPr="00BE3AA2">
        <w:rPr>
          <w:rFonts w:ascii="Garamond" w:hAnsi="Garamond" w:cs="Times New Roman"/>
        </w:rPr>
        <w:t xml:space="preserve"> assists countries in eradicating poverty, reducing inequalities, and building resilience, playing a critical role in helping achieve the Sustainable Development Goals. As part of their efforts, they have developed the widely disseminated Human Development Index.</w:t>
      </w:r>
    </w:p>
    <w:p w14:paraId="6A969088"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 xml:space="preserve">Women, </w:t>
      </w:r>
      <w:proofErr w:type="gramStart"/>
      <w:r w:rsidRPr="00BE3AA2">
        <w:rPr>
          <w:rFonts w:ascii="Garamond" w:hAnsi="Garamond" w:cs="Times New Roman"/>
          <w:b/>
          <w:bCs/>
        </w:rPr>
        <w:t>Business</w:t>
      </w:r>
      <w:proofErr w:type="gramEnd"/>
      <w:r w:rsidRPr="00BE3AA2">
        <w:rPr>
          <w:rFonts w:ascii="Garamond" w:hAnsi="Garamond" w:cs="Times New Roman"/>
          <w:b/>
          <w:bCs/>
        </w:rPr>
        <w:t xml:space="preserve"> and the Law (WBL)</w:t>
      </w:r>
      <w:r w:rsidRPr="00BE3AA2">
        <w:rPr>
          <w:rFonts w:ascii="Garamond" w:hAnsi="Garamond" w:cs="Times New Roman"/>
        </w:rPr>
        <w:t>: The Women, Business, and the Law project, undertaken by the World Bank Group, systematically gathers data to measure the legal and regulatory barriers affecting women's economic participation across 190 economies. It focuses on eight key areas that are critical to women's economic empowerment: mobility, workplace, pay, marriage, parenthood, entrepreneurship, assets, and pension.</w:t>
      </w:r>
    </w:p>
    <w:p w14:paraId="2D33AE8A"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lastRenderedPageBreak/>
        <w:t>Economist Intelligence Unit (EIU)</w:t>
      </w:r>
      <w:r w:rsidRPr="00BE3AA2">
        <w:rPr>
          <w:rFonts w:ascii="Garamond" w:hAnsi="Garamond" w:cs="Times New Roman"/>
        </w:rPr>
        <w:t>: The Economist Intelligence Unit, the research and analysis division of The Economist Group, offers comprehensive economic, political, and social insights and forecasts for over 200 countries. They have produced the widely used Democracy Index.</w:t>
      </w:r>
    </w:p>
    <w:p w14:paraId="32BBA4A6"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Sovereign ESG Data Portal (ESG)</w:t>
      </w:r>
      <w:r w:rsidRPr="00BE3AA2">
        <w:rPr>
          <w:rFonts w:ascii="Garamond" w:hAnsi="Garamond" w:cs="Times New Roman"/>
        </w:rPr>
        <w:t>: The World Bank's Sovereign ESG Data Portal encompasses a vast array of data aimed at evaluating countries' performance through an environmental, social, and governance lens. Their framework is designed to provide policymakers, financial market participants, and researchers with critical insights into the sustainability of economic performance across countries.</w:t>
      </w:r>
    </w:p>
    <w:p w14:paraId="38CD23EF" w14:textId="30E86B7B" w:rsidR="00907FEA" w:rsidRPr="00BE3AA2" w:rsidRDefault="00240C2C" w:rsidP="00BE3AA2">
      <w:pPr>
        <w:spacing w:line="360" w:lineRule="auto"/>
        <w:jc w:val="both"/>
        <w:rPr>
          <w:rFonts w:ascii="Garamond" w:hAnsi="Garamond" w:cs="Times New Roman"/>
        </w:rPr>
      </w:pPr>
      <w:r w:rsidRPr="00BE3AA2">
        <w:rPr>
          <w:rFonts w:ascii="Garamond" w:hAnsi="Garamond" w:cs="Times New Roman"/>
          <w:b/>
          <w:bCs/>
        </w:rPr>
        <w:t>Equality of Opportunity for Sexual and Gender Minorities (EQOSOGI)</w:t>
      </w:r>
      <w:r w:rsidRPr="00BE3AA2">
        <w:rPr>
          <w:rFonts w:ascii="Garamond" w:hAnsi="Garamond" w:cs="Times New Roman"/>
        </w:rPr>
        <w:t>: The EQOSOGI project represents a pioneering effort to systematically collect and analyze data on laws and regulations affecting the lives of sexual and gender minorities across various countries. Focusing on six key areas—education, employment, access to services and social protection, civil and political inclusion, protection from hate crimes, and decriminalization—the project aims to shed light on the legal and regulatory landscape for sexual and gender minorities.</w:t>
      </w:r>
    </w:p>
    <w:p w14:paraId="0BFFAB12" w14:textId="1482A2A7" w:rsidR="00240C2C" w:rsidRPr="00240C2C" w:rsidRDefault="00FD2500" w:rsidP="00240C2C">
      <w:pPr>
        <w:pStyle w:val="ListParagraph"/>
        <w:numPr>
          <w:ilvl w:val="1"/>
          <w:numId w:val="3"/>
        </w:numPr>
        <w:spacing w:line="360" w:lineRule="auto"/>
        <w:jc w:val="both"/>
        <w:outlineLvl w:val="1"/>
        <w:rPr>
          <w:rFonts w:ascii="Garamond" w:hAnsi="Garamond" w:cs="Times New Roman"/>
          <w:b/>
          <w:bCs/>
        </w:rPr>
      </w:pPr>
      <w:bookmarkStart w:id="6" w:name="_Toc163821658"/>
      <w:r>
        <w:rPr>
          <w:rFonts w:ascii="Garamond" w:hAnsi="Garamond" w:cs="Times New Roman"/>
          <w:b/>
          <w:bCs/>
        </w:rPr>
        <w:t>SSGD v2.0 features</w:t>
      </w:r>
      <w:bookmarkEnd w:id="6"/>
    </w:p>
    <w:p w14:paraId="508417B8" w14:textId="683938DC"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The SSGD v2.0 not only offers </w:t>
      </w:r>
      <w:r w:rsidR="00BE1B60">
        <w:rPr>
          <w:rFonts w:ascii="Garamond" w:hAnsi="Garamond" w:cs="Times New Roman"/>
        </w:rPr>
        <w:t>disaggregated</w:t>
      </w:r>
      <w:r w:rsidRPr="00E845A5">
        <w:rPr>
          <w:rFonts w:ascii="Garamond" w:hAnsi="Garamond" w:cs="Times New Roman"/>
        </w:rPr>
        <w:t xml:space="preserve"> estimates for indicators related to social sustainability but also features a user-friendly structure. Developed with a commitment to transparency, the SSGD v2.0 enables users to replicate the database from the raw data through 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Pr="00E845A5">
        <w:rPr>
          <w:rFonts w:ascii="Garamond" w:hAnsi="Garamond" w:cs="Times New Roman"/>
        </w:rPr>
        <w:t xml:space="preserve"> (for more details, refer to section </w:t>
      </w:r>
      <w:r w:rsidR="0051385D">
        <w:rPr>
          <w:rFonts w:ascii="Garamond" w:hAnsi="Garamond" w:cs="Times New Roman"/>
        </w:rPr>
        <w:t>5</w:t>
      </w:r>
      <w:r w:rsidRPr="00E845A5">
        <w:rPr>
          <w:rFonts w:ascii="Garamond" w:hAnsi="Garamond" w:cs="Times New Roman"/>
        </w:rPr>
        <w:t>).</w:t>
      </w:r>
    </w:p>
    <w:p w14:paraId="5E5E7871" w14:textId="176E0D62"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Given the diverse sources contributing to the SSGD v2.0, the database employs harmonization standards for all its indicators, ensuring comparability across various datasets. It also preserves the original metadata for each indicator, facilitating user access to the sources and providing insight into additional characteristics of the indicators.</w:t>
      </w:r>
    </w:p>
    <w:p w14:paraId="44266671" w14:textId="5EE683B8"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11"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715B8510" w14:textId="7F552936" w:rsidR="00FD2500" w:rsidRDefault="00FD2500" w:rsidP="00FD2500">
      <w:pPr>
        <w:spacing w:line="360" w:lineRule="auto"/>
        <w:jc w:val="center"/>
      </w:pPr>
      <w:r w:rsidRPr="00FD2500">
        <w:rPr>
          <w:rFonts w:ascii="Garamond" w:hAnsi="Garamond" w:cs="Times New Roman"/>
          <w:b/>
          <w:bCs/>
        </w:rPr>
        <w:lastRenderedPageBreak/>
        <w:t>Figure 3</w:t>
      </w:r>
      <w:r w:rsidRPr="00FD2500">
        <w:rPr>
          <w:rFonts w:ascii="Garamond" w:hAnsi="Garamond" w:cs="Times New Roman"/>
        </w:rPr>
        <w:t xml:space="preserve">: </w:t>
      </w:r>
      <w:r>
        <w:rPr>
          <w:rFonts w:ascii="Garamond" w:hAnsi="Garamond" w:cs="Times New Roman"/>
        </w:rPr>
        <w:t>SSGD v2.0 features</w:t>
      </w:r>
      <w:r>
        <w:rPr>
          <w:noProof/>
        </w:rPr>
        <w:drawing>
          <wp:inline distT="0" distB="0" distL="0" distR="0" wp14:anchorId="5F0CB0CB" wp14:editId="04E750DD">
            <wp:extent cx="5400040" cy="3298825"/>
            <wp:effectExtent l="0" t="0" r="0" b="0"/>
            <wp:docPr id="1758518386" name="Picture 2" descr="A diagram of a group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8386" name="Picture 2" descr="A diagram of a group of informa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29882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4C580555"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external </w:t>
      </w:r>
      <w:r w:rsidR="004A7241">
        <w:rPr>
          <w:rFonts w:ascii="Garamond" w:hAnsi="Garamond" w:cs="Times New Roman"/>
        </w:rPr>
        <w:t>ones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7" w:name="_Toc163821659"/>
      <w:r w:rsidRPr="000B15F6">
        <w:rPr>
          <w:rFonts w:ascii="Garamond" w:hAnsi="Garamond" w:cs="Times New Roman"/>
          <w:b/>
          <w:bCs/>
        </w:rPr>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7"/>
    </w:p>
    <w:p w14:paraId="2FE2D025" w14:textId="6C72C3B8" w:rsidR="00F1771F" w:rsidRDefault="00B65BE4" w:rsidP="000B15F6">
      <w:pPr>
        <w:spacing w:line="360" w:lineRule="auto"/>
        <w:jc w:val="both"/>
        <w:rPr>
          <w:rFonts w:ascii="Garamond" w:hAnsi="Garamond" w:cs="Times New Roman"/>
        </w:rPr>
        <w:sectPr w:rsidR="00F1771F" w:rsidSect="00352A96">
          <w:footerReference w:type="default" r:id="rId13"/>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1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p>
    <w:p w14:paraId="5C8CA541" w14:textId="77777777" w:rsidR="000B15F6" w:rsidRPr="00212034" w:rsidRDefault="000B15F6" w:rsidP="000B15F6">
      <w:pPr>
        <w:spacing w:line="360" w:lineRule="auto"/>
        <w:jc w:val="center"/>
        <w:rPr>
          <w:rFonts w:ascii="Garamond" w:hAnsi="Garamond" w:cs="Times New Roman"/>
          <w:b/>
          <w:bCs/>
        </w:rPr>
      </w:pPr>
      <w:r w:rsidRPr="00A85E18">
        <w:rPr>
          <w:noProof/>
        </w:rPr>
        <w:drawing>
          <wp:inline distT="0" distB="0" distL="0" distR="0" wp14:anchorId="12A5D46F" wp14:editId="7ED35633">
            <wp:extent cx="8891270" cy="4483735"/>
            <wp:effectExtent l="0" t="0" r="5080" b="0"/>
            <wp:docPr id="118918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4483735"/>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Table 1: Leading indicators’ distribution by wave and group decomposition</w:t>
      </w:r>
      <w:r>
        <w:rPr>
          <w:rFonts w:ascii="Garamond" w:hAnsi="Garamond" w:cs="Times New Roman"/>
          <w:b/>
          <w:bCs/>
        </w:rPr>
        <w:t xml:space="preserve"> (continued)</w:t>
      </w:r>
    </w:p>
    <w:p w14:paraId="0ABFFC53"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0C9EE55B" wp14:editId="46D18D3B">
            <wp:extent cx="8891270" cy="4375785"/>
            <wp:effectExtent l="0" t="0" r="5080" b="5715"/>
            <wp:docPr id="1717397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375785"/>
                    </a:xfrm>
                    <a:prstGeom prst="rect">
                      <a:avLst/>
                    </a:prstGeom>
                    <a:noFill/>
                    <a:ln>
                      <a:noFill/>
                    </a:ln>
                  </pic:spPr>
                </pic:pic>
              </a:graphicData>
            </a:graphic>
          </wp:inline>
        </w:drawing>
      </w:r>
    </w:p>
    <w:p w14:paraId="023FA478"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r>
        <w:rPr>
          <w:rFonts w:ascii="Garamond" w:hAnsi="Garamond" w:cs="Times New Roman"/>
          <w:b/>
          <w:bCs/>
        </w:rPr>
        <w:t xml:space="preserve"> (continued)</w:t>
      </w:r>
    </w:p>
    <w:p w14:paraId="5E95386E"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7023DA9C" wp14:editId="2A868C22">
            <wp:extent cx="8891270" cy="4396105"/>
            <wp:effectExtent l="0" t="0" r="5080" b="4445"/>
            <wp:docPr id="1875073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1270" cy="4396105"/>
                    </a:xfrm>
                    <a:prstGeom prst="rect">
                      <a:avLst/>
                    </a:prstGeom>
                    <a:noFill/>
                    <a:ln>
                      <a:noFill/>
                    </a:ln>
                  </pic:spPr>
                </pic:pic>
              </a:graphicData>
            </a:graphic>
          </wp:inline>
        </w:drawing>
      </w:r>
    </w:p>
    <w:p w14:paraId="1DA2AD94" w14:textId="77777777" w:rsidR="000B15F6" w:rsidRDefault="000B15F6" w:rsidP="000B15F6">
      <w:pPr>
        <w:spacing w:line="360" w:lineRule="auto"/>
        <w:jc w:val="center"/>
        <w:rPr>
          <w:rFonts w:ascii="Garamond" w:hAnsi="Garamond" w:cs="Times New Roman"/>
          <w:b/>
          <w:bCs/>
        </w:rPr>
      </w:pPr>
    </w:p>
    <w:p w14:paraId="04E9DA8A"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r>
        <w:rPr>
          <w:rFonts w:ascii="Garamond" w:hAnsi="Garamond" w:cs="Times New Roman"/>
          <w:b/>
          <w:bCs/>
        </w:rPr>
        <w:t xml:space="preserve"> (continued)</w:t>
      </w:r>
    </w:p>
    <w:p w14:paraId="2B57E519" w14:textId="1A719675" w:rsidR="000B15F6" w:rsidRDefault="000B15F6" w:rsidP="000B15F6">
      <w:pPr>
        <w:rPr>
          <w:rFonts w:ascii="Garamond" w:hAnsi="Garamond" w:cs="Times New Roman"/>
        </w:rPr>
        <w:sectPr w:rsidR="000B15F6" w:rsidSect="00352A96">
          <w:pgSz w:w="16838" w:h="11906" w:orient="landscape"/>
          <w:pgMar w:top="1701" w:right="1418" w:bottom="1701" w:left="1418" w:header="709" w:footer="709" w:gutter="0"/>
          <w:cols w:space="708"/>
          <w:docGrid w:linePitch="360"/>
        </w:sectPr>
      </w:pPr>
      <w:r w:rsidRPr="00046DE4">
        <w:rPr>
          <w:noProof/>
        </w:rPr>
        <w:drawing>
          <wp:inline distT="0" distB="0" distL="0" distR="0" wp14:anchorId="06BAB8C4" wp14:editId="444EE476">
            <wp:extent cx="8834366" cy="5047488"/>
            <wp:effectExtent l="0" t="0" r="5080" b="1270"/>
            <wp:docPr id="1938513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36186" cy="5048528"/>
                    </a:xfrm>
                    <a:prstGeom prst="rect">
                      <a:avLst/>
                    </a:prstGeom>
                    <a:noFill/>
                    <a:ln>
                      <a:noFill/>
                    </a:ln>
                  </pic:spPr>
                </pic:pic>
              </a:graphicData>
            </a:graphic>
          </wp:inline>
        </w:drawing>
      </w:r>
    </w:p>
    <w:p w14:paraId="24A15FEC" w14:textId="7BF406FC" w:rsidR="00372165" w:rsidRDefault="00372165" w:rsidP="000B15F6">
      <w:pPr>
        <w:spacing w:line="360" w:lineRule="auto"/>
        <w:jc w:val="both"/>
        <w:rPr>
          <w:rFonts w:ascii="Garamond" w:hAnsi="Garamond" w:cs="Times New Roman"/>
        </w:rPr>
      </w:pPr>
      <w:r>
        <w:rPr>
          <w:rFonts w:ascii="Garamond" w:hAnsi="Garamond" w:cs="Times New Roman"/>
        </w:rPr>
        <w:lastRenderedPageBreak/>
        <w:t>Appendix B contains supplementary material to this technical report that offers an extended version of Table 1. There the user will find detailed information on the data availability both by wave and population group information. As part of the supplementary materials, a codebook for the SSGD v2.0 is provided.</w:t>
      </w:r>
    </w:p>
    <w:p w14:paraId="6D1959AC" w14:textId="57A3091C"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s important to highlight that multiple sources can supply data for a single indicator (refer to the "Source" column in Table 1).</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4985D2F7">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05A266B7"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Table 2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Similarly, Table 3 shows the information contained in Table 2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7664E617"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Table 2: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1276E8EF"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3: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352A96">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7A2A72DF">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5A4A945C">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352A96">
          <w:pgSz w:w="16838" w:h="11906" w:orient="landscape"/>
          <w:pgMar w:top="1701" w:right="1418" w:bottom="1701" w:left="1418" w:header="709" w:footer="709" w:gutter="0"/>
          <w:cols w:space="708"/>
          <w:docGrid w:linePitch="360"/>
        </w:sectPr>
      </w:pPr>
    </w:p>
    <w:p w14:paraId="07EBE205" w14:textId="645A89B7" w:rsidR="00FA5963" w:rsidRDefault="00FA5963" w:rsidP="000B15F6">
      <w:pPr>
        <w:pStyle w:val="ListParagraph"/>
        <w:numPr>
          <w:ilvl w:val="0"/>
          <w:numId w:val="3"/>
        </w:numPr>
        <w:spacing w:line="360" w:lineRule="auto"/>
        <w:jc w:val="both"/>
        <w:outlineLvl w:val="0"/>
        <w:rPr>
          <w:rFonts w:ascii="Garamond" w:hAnsi="Garamond" w:cs="Times New Roman"/>
          <w:b/>
          <w:bCs/>
          <w:sz w:val="24"/>
          <w:szCs w:val="24"/>
        </w:rPr>
      </w:pPr>
      <w:bookmarkStart w:id="8" w:name="_Toc163821660"/>
      <w:r>
        <w:rPr>
          <w:rFonts w:ascii="Garamond" w:hAnsi="Garamond" w:cs="Times New Roman"/>
          <w:b/>
          <w:bCs/>
          <w:sz w:val="24"/>
          <w:szCs w:val="24"/>
        </w:rPr>
        <w:lastRenderedPageBreak/>
        <w:t>SSGD v2.0</w:t>
      </w:r>
      <w:r w:rsidR="00E268DB">
        <w:rPr>
          <w:rFonts w:ascii="Garamond" w:hAnsi="Garamond" w:cs="Times New Roman"/>
          <w:b/>
          <w:bCs/>
          <w:sz w:val="24"/>
          <w:szCs w:val="24"/>
        </w:rPr>
        <w:t xml:space="preserve"> data visualization tools</w:t>
      </w:r>
      <w:bookmarkEnd w:id="8"/>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18245813"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Social Inclusion, external variables),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43433E49" w14:textId="77777777" w:rsidR="00E268DB" w:rsidRDefault="00FA5963" w:rsidP="00E268DB">
      <w:pPr>
        <w:spacing w:line="360" w:lineRule="auto"/>
        <w:jc w:val="center"/>
        <w:rPr>
          <w:rFonts w:ascii="Garamond" w:hAnsi="Garamond" w:cs="Times New Roman"/>
        </w:rPr>
      </w:pPr>
      <w:r>
        <w:rPr>
          <w:noProof/>
        </w:rPr>
        <w:drawing>
          <wp:inline distT="0" distB="0" distL="0" distR="0" wp14:anchorId="5F7D0E01" wp14:editId="5B8F25DD">
            <wp:extent cx="4838131" cy="4031397"/>
            <wp:effectExtent l="0" t="0" r="635" b="7620"/>
            <wp:docPr id="571904716" name="Picture 3"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4716" name="Picture 3" descr="A diagram of a company profi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629" cy="4035978"/>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w:t>
      </w:r>
      <w:r w:rsidRPr="00B1790F">
        <w:rPr>
          <w:rFonts w:ascii="Garamond" w:hAnsi="Garamond" w:cs="Times New Roman"/>
        </w:rPr>
        <w:lastRenderedPageBreak/>
        <w:t>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BCEA692" w:rsidR="00E268DB" w:rsidRPr="005D33F2" w:rsidRDefault="00E268DB" w:rsidP="00E268DB">
      <w:pPr>
        <w:spacing w:line="360" w:lineRule="auto"/>
        <w:jc w:val="both"/>
        <w:rPr>
          <w:rFonts w:ascii="Garamond" w:hAnsi="Garamond" w:cs="Times New Roman"/>
        </w:rPr>
        <w:sectPr w:rsidR="00E268DB" w:rsidRPr="005D33F2" w:rsidSect="00352A96">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external indicators of a chosen country are shown by default. Box 7C reveals the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w:t>
      </w:r>
      <w:proofErr w:type="gramStart"/>
      <w:r w:rsidRPr="00E268DB">
        <w:rPr>
          <w:rFonts w:ascii="Garamond" w:hAnsi="Garamond" w:cs="Times New Roman"/>
        </w:rPr>
        <w:t>Box</w:t>
      </w:r>
      <w:proofErr w:type="gramEnd"/>
      <w:r w:rsidRPr="00E268DB">
        <w:rPr>
          <w:rFonts w:ascii="Garamond" w:hAnsi="Garamond" w:cs="Times New Roman"/>
        </w:rPr>
        <w:t xml:space="preserve"> 7D introduces the association panel, offering a scatter plot that visualizes the relationship between two indicators</w:t>
      </w:r>
      <w:r>
        <w:rPr>
          <w:rFonts w:ascii="Garamond" w:hAnsi="Garamond" w:cs="Times New Roman"/>
        </w:rPr>
        <w:t xml:space="preserve"> selected by the user</w:t>
      </w:r>
      <w:r w:rsidRPr="00E268DB">
        <w:rPr>
          <w:rFonts w:ascii="Garamond" w:hAnsi="Garamond" w:cs="Times New Roman"/>
        </w:rPr>
        <w:t>.</w:t>
      </w:r>
    </w:p>
    <w:p w14:paraId="065A4BA1" w14:textId="77089C09" w:rsidR="00625B2D" w:rsidRDefault="009D42EB" w:rsidP="00625B2D">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625B2D" w14:paraId="65A4B7D6" w14:textId="77777777" w:rsidTr="00625B2D">
        <w:tc>
          <w:tcPr>
            <w:tcW w:w="6996" w:type="dxa"/>
            <w:shd w:val="clear" w:color="auto" w:fill="F2F2F2" w:themeFill="background1" w:themeFillShade="F2"/>
          </w:tcPr>
          <w:p w14:paraId="3D969274" w14:textId="587D9225"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996" w:type="dxa"/>
            <w:shd w:val="clear" w:color="auto" w:fill="F2F2F2" w:themeFill="background1" w:themeFillShade="F2"/>
          </w:tcPr>
          <w:p w14:paraId="547D4AA0" w14:textId="5BA3B9B7"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r>
      <w:tr w:rsidR="00625B2D" w14:paraId="619696A4" w14:textId="77777777" w:rsidTr="00625B2D">
        <w:tc>
          <w:tcPr>
            <w:tcW w:w="6996" w:type="dxa"/>
          </w:tcPr>
          <w:p w14:paraId="7B2D732A" w14:textId="6640708E"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512ADCAA" wp14:editId="25DB1AFC">
                  <wp:extent cx="3859200" cy="2160000"/>
                  <wp:effectExtent l="0" t="0" r="8255" b="0"/>
                  <wp:docPr id="10156897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689713" name=""/>
                          <pic:cNvPicPr/>
                        </pic:nvPicPr>
                        <pic:blipFill>
                          <a:blip r:embed="rId26"/>
                          <a:stretch>
                            <a:fillRect/>
                          </a:stretch>
                        </pic:blipFill>
                        <pic:spPr>
                          <a:xfrm>
                            <a:off x="0" y="0"/>
                            <a:ext cx="3859200" cy="2160000"/>
                          </a:xfrm>
                          <a:prstGeom prst="rect">
                            <a:avLst/>
                          </a:prstGeom>
                        </pic:spPr>
                      </pic:pic>
                    </a:graphicData>
                  </a:graphic>
                </wp:inline>
              </w:drawing>
            </w:r>
          </w:p>
        </w:tc>
        <w:tc>
          <w:tcPr>
            <w:tcW w:w="6996" w:type="dxa"/>
          </w:tcPr>
          <w:p w14:paraId="19A81E14" w14:textId="49EEE5B1"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6CEE92C9" wp14:editId="35840C5D">
                  <wp:extent cx="3859200" cy="2160000"/>
                  <wp:effectExtent l="0" t="0" r="8255" b="0"/>
                  <wp:docPr id="2107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171" name=""/>
                          <pic:cNvPicPr/>
                        </pic:nvPicPr>
                        <pic:blipFill>
                          <a:blip r:embed="rId27"/>
                          <a:stretch>
                            <a:fillRect/>
                          </a:stretch>
                        </pic:blipFill>
                        <pic:spPr>
                          <a:xfrm>
                            <a:off x="0" y="0"/>
                            <a:ext cx="3859200" cy="2160000"/>
                          </a:xfrm>
                          <a:prstGeom prst="rect">
                            <a:avLst/>
                          </a:prstGeom>
                        </pic:spPr>
                      </pic:pic>
                    </a:graphicData>
                  </a:graphic>
                </wp:inline>
              </w:drawing>
            </w:r>
          </w:p>
        </w:tc>
      </w:tr>
      <w:tr w:rsidR="00625B2D" w14:paraId="55B3E1A2" w14:textId="77777777" w:rsidTr="00625B2D">
        <w:tc>
          <w:tcPr>
            <w:tcW w:w="6996" w:type="dxa"/>
            <w:shd w:val="clear" w:color="auto" w:fill="F2F2F2" w:themeFill="background1" w:themeFillShade="F2"/>
          </w:tcPr>
          <w:p w14:paraId="691E0650" w14:textId="015E39D3"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Benchmarking</w:t>
            </w:r>
            <w:r w:rsidR="008F2CC2">
              <w:rPr>
                <w:rFonts w:ascii="Garamond" w:hAnsi="Garamond" w:cs="Times New Roman"/>
                <w:b/>
                <w:bCs/>
              </w:rPr>
              <w:t xml:space="preserve"> (Global)</w:t>
            </w:r>
          </w:p>
        </w:tc>
        <w:tc>
          <w:tcPr>
            <w:tcW w:w="6996" w:type="dxa"/>
            <w:shd w:val="clear" w:color="auto" w:fill="F2F2F2" w:themeFill="background1" w:themeFillShade="F2"/>
          </w:tcPr>
          <w:p w14:paraId="3FE52B1E" w14:textId="7A14827C"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Associations</w:t>
            </w:r>
          </w:p>
        </w:tc>
      </w:tr>
      <w:tr w:rsidR="00625B2D" w14:paraId="5C134EA0" w14:textId="77777777" w:rsidTr="00625B2D">
        <w:tc>
          <w:tcPr>
            <w:tcW w:w="6996" w:type="dxa"/>
          </w:tcPr>
          <w:p w14:paraId="70E3E57B" w14:textId="2E4B419E" w:rsidR="00625B2D" w:rsidRDefault="00186F16" w:rsidP="00625B2D">
            <w:pPr>
              <w:spacing w:line="360" w:lineRule="auto"/>
              <w:jc w:val="center"/>
              <w:rPr>
                <w:rFonts w:ascii="Garamond" w:hAnsi="Garamond" w:cs="Times New Roman"/>
                <w:b/>
                <w:bCs/>
              </w:rPr>
            </w:pPr>
            <w:r w:rsidRPr="00186F16">
              <w:rPr>
                <w:rFonts w:ascii="Garamond" w:hAnsi="Garamond" w:cs="Times New Roman"/>
                <w:b/>
                <w:bCs/>
                <w:noProof/>
              </w:rPr>
              <w:drawing>
                <wp:inline distT="0" distB="0" distL="0" distR="0" wp14:anchorId="18211328" wp14:editId="61A70F29">
                  <wp:extent cx="3859200" cy="2160000"/>
                  <wp:effectExtent l="0" t="0" r="8255" b="0"/>
                  <wp:docPr id="14845340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4534023" name=""/>
                          <pic:cNvPicPr/>
                        </pic:nvPicPr>
                        <pic:blipFill>
                          <a:blip r:embed="rId28"/>
                          <a:stretch>
                            <a:fillRect/>
                          </a:stretch>
                        </pic:blipFill>
                        <pic:spPr>
                          <a:xfrm>
                            <a:off x="0" y="0"/>
                            <a:ext cx="3859200" cy="2160000"/>
                          </a:xfrm>
                          <a:prstGeom prst="rect">
                            <a:avLst/>
                          </a:prstGeom>
                        </pic:spPr>
                      </pic:pic>
                    </a:graphicData>
                  </a:graphic>
                </wp:inline>
              </w:drawing>
            </w:r>
          </w:p>
        </w:tc>
        <w:tc>
          <w:tcPr>
            <w:tcW w:w="6996" w:type="dxa"/>
          </w:tcPr>
          <w:p w14:paraId="71E79385" w14:textId="39CBBE9D" w:rsidR="00625B2D" w:rsidRDefault="002F2F66" w:rsidP="00625B2D">
            <w:pPr>
              <w:spacing w:line="360" w:lineRule="auto"/>
              <w:jc w:val="center"/>
              <w:rPr>
                <w:rFonts w:ascii="Garamond" w:hAnsi="Garamond" w:cs="Times New Roman"/>
                <w:b/>
                <w:bCs/>
              </w:rPr>
            </w:pPr>
            <w:r w:rsidRPr="002F2F66">
              <w:rPr>
                <w:rFonts w:ascii="Garamond" w:hAnsi="Garamond" w:cs="Times New Roman"/>
                <w:b/>
                <w:bCs/>
                <w:noProof/>
              </w:rPr>
              <w:drawing>
                <wp:inline distT="0" distB="0" distL="0" distR="0" wp14:anchorId="585C691F" wp14:editId="6DEBA421">
                  <wp:extent cx="3859200" cy="2160000"/>
                  <wp:effectExtent l="0" t="0" r="8255" b="0"/>
                  <wp:docPr id="13264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647463" name=""/>
                          <pic:cNvPicPr/>
                        </pic:nvPicPr>
                        <pic:blipFill>
                          <a:blip r:embed="rId29"/>
                          <a:stretch>
                            <a:fillRect/>
                          </a:stretch>
                        </pic:blipFill>
                        <pic:spPr>
                          <a:xfrm>
                            <a:off x="0" y="0"/>
                            <a:ext cx="3859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352A96">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9" w:name="_Toc163821661"/>
      <w:r>
        <w:rPr>
          <w:rFonts w:ascii="Garamond" w:hAnsi="Garamond" w:cs="Times New Roman"/>
          <w:b/>
          <w:bCs/>
          <w:sz w:val="24"/>
          <w:szCs w:val="24"/>
        </w:rPr>
        <w:lastRenderedPageBreak/>
        <w:t>An application exercise using the SSGD v2.0</w:t>
      </w:r>
      <w:bookmarkEnd w:id="9"/>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w:t>
      </w:r>
      <w:proofErr w:type="gramStart"/>
      <w:r w:rsidRPr="00712C8F">
        <w:rPr>
          <w:rFonts w:ascii="Garamond" w:hAnsi="Garamond" w:cs="Times New Roman"/>
        </w:rPr>
        <w:t>Ecuador</w:t>
      </w:r>
      <w:proofErr w:type="gramEnd"/>
      <w:r w:rsidRPr="00712C8F">
        <w:rPr>
          <w:rFonts w:ascii="Garamond" w:hAnsi="Garamond" w:cs="Times New Roman"/>
        </w:rPr>
        <w:t xml:space="preserve">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10"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10"/>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66A14DDF" w:rsidR="008A4765" w:rsidRDefault="00404FE4" w:rsidP="008A4765">
      <w:pPr>
        <w:rPr>
          <w:rFonts w:ascii="Garamond" w:hAnsi="Garamond" w:cs="Times New Roman"/>
        </w:rPr>
      </w:pPr>
      <w:r>
        <w:rPr>
          <w:rFonts w:ascii="Garamond" w:hAnsi="Garamond" w:cs="Times New Roman"/>
          <w:noProof/>
        </w:rPr>
        <w:drawing>
          <wp:inline distT="0" distB="0" distL="0" distR="0" wp14:anchorId="7A596147" wp14:editId="213DC8BC">
            <wp:extent cx="5266055" cy="2814196"/>
            <wp:effectExtent l="0" t="0" r="0" b="5715"/>
            <wp:docPr id="248887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7565" cy="2820347"/>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 xml:space="preserve">ongress are women, indicating progress towards achieving gender parity. However, challenges </w:t>
      </w:r>
      <w:proofErr w:type="gramStart"/>
      <w:r w:rsidRPr="003D79F8">
        <w:rPr>
          <w:rFonts w:ascii="Garamond" w:hAnsi="Garamond" w:cs="Times New Roman"/>
        </w:rPr>
        <w:t>persist:</w:t>
      </w:r>
      <w:proofErr w:type="gramEnd"/>
      <w:r w:rsidRPr="003D79F8">
        <w:rPr>
          <w:rFonts w:ascii="Garamond" w:hAnsi="Garamond" w:cs="Times New Roman"/>
        </w:rPr>
        <w:t xml:space="preserve">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4207D0EA"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1C27D7">
        <w:rPr>
          <w:rFonts w:ascii="Garamond" w:hAnsi="Garamond" w:cs="Times New Roman"/>
          <w:b/>
          <w:bCs/>
        </w:rPr>
        <w:t>4</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029C746F" w:rsidR="008A4765" w:rsidRDefault="001C27D7" w:rsidP="001C27D7">
      <w:pPr>
        <w:jc w:val="center"/>
        <w:rPr>
          <w:rFonts w:ascii="Garamond" w:hAnsi="Garamond" w:cs="Times New Roman"/>
        </w:rPr>
      </w:pPr>
      <w:r w:rsidRPr="001C27D7">
        <w:rPr>
          <w:noProof/>
        </w:rPr>
        <w:drawing>
          <wp:inline distT="0" distB="0" distL="0" distR="0" wp14:anchorId="49C00B27" wp14:editId="2309EDF6">
            <wp:extent cx="5400040" cy="3816985"/>
            <wp:effectExtent l="0" t="0" r="0" b="0"/>
            <wp:docPr id="10736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816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1A5F990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4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11" w:name="_Toc163821663"/>
      <w:r w:rsidRPr="00080BBA">
        <w:rPr>
          <w:rFonts w:ascii="Garamond" w:hAnsi="Garamond" w:cs="Times New Roman"/>
          <w:b/>
          <w:bCs/>
        </w:rPr>
        <w:t>Comparative assessment: Peru and other Andean countries</w:t>
      </w:r>
      <w:bookmarkEnd w:id="11"/>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w:t>
      </w:r>
      <w:proofErr w:type="gramStart"/>
      <w:r w:rsidRPr="00E30486">
        <w:rPr>
          <w:rFonts w:ascii="Garamond" w:hAnsi="Garamond" w:cs="Times New Roman"/>
        </w:rPr>
        <w:t>Ecuador</w:t>
      </w:r>
      <w:proofErr w:type="gramEnd"/>
      <w:r w:rsidRPr="00E30486">
        <w:rPr>
          <w:rFonts w:ascii="Garamond" w:hAnsi="Garamond" w:cs="Times New Roman"/>
        </w:rPr>
        <w:t xml:space="preserve">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12"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12"/>
    </w:p>
    <w:p w14:paraId="1587BC96" w14:textId="19DF144A"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 in providing</w:t>
      </w:r>
      <w:r>
        <w:rPr>
          <w:rFonts w:ascii="Garamond" w:hAnsi="Garamond" w:cs="Times New Roman"/>
          <w:noProof/>
        </w:rPr>
        <w:t xml:space="preserve"> visualization tools that highlights</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13" w:name="_Toc163821665"/>
      <w:r>
        <w:rPr>
          <w:rFonts w:ascii="Garamond" w:hAnsi="Garamond" w:cs="Times New Roman"/>
          <w:b/>
          <w:bCs/>
        </w:rPr>
        <w:t>Subnational analysis: Trust in people in Andean countries</w:t>
      </w:r>
      <w:bookmarkEnd w:id="13"/>
    </w:p>
    <w:p w14:paraId="5B0630FC" w14:textId="482FDB3E" w:rsidR="00D02C47" w:rsidRDefault="00E20DA3" w:rsidP="00E20DA3">
      <w:pPr>
        <w:spacing w:line="360" w:lineRule="auto"/>
        <w:jc w:val="both"/>
        <w:rPr>
          <w:rFonts w:ascii="Garamond" w:hAnsi="Garamond" w:cs="Times New Roman"/>
        </w:rPr>
      </w:pPr>
      <w:r w:rsidRPr="00E20DA3">
        <w:rPr>
          <w:rFonts w:ascii="Garamond" w:hAnsi="Garamond" w:cs="Times New Roman"/>
        </w:rPr>
        <w:t xml:space="preserve">To conclude our presentation of application examples using SSGD v2.0, we offer maps illustrating the diversity in the proportion of people expressing trust in others, focusing on Peru and its neighboring countries, </w:t>
      </w:r>
      <w:proofErr w:type="gramStart"/>
      <w:r w:rsidRPr="00E20DA3">
        <w:rPr>
          <w:rFonts w:ascii="Garamond" w:hAnsi="Garamond" w:cs="Times New Roman"/>
        </w:rPr>
        <w:t>Ecuador</w:t>
      </w:r>
      <w:proofErr w:type="gramEnd"/>
      <w:r w:rsidRPr="00E20DA3">
        <w:rPr>
          <w:rFonts w:ascii="Garamond" w:hAnsi="Garamond" w:cs="Times New Roman"/>
        </w:rPr>
        <w:t xml:space="preserve">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its primary administrative divisions, revealing significant variability. Note that some data points are omitted due to the lack of information from the original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39"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40"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14" w:name="_Toc163821666"/>
      <w:r w:rsidRPr="00212034">
        <w:rPr>
          <w:rFonts w:ascii="Garamond" w:hAnsi="Garamond" w:cs="Times New Roman"/>
          <w:b/>
          <w:bCs/>
          <w:sz w:val="24"/>
          <w:szCs w:val="24"/>
        </w:rPr>
        <w:lastRenderedPageBreak/>
        <w:t>Use and replicability of the SSGD v2.0</w:t>
      </w:r>
      <w:bookmarkEnd w:id="14"/>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15"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15"/>
    </w:p>
    <w:p w14:paraId="112DD8E1" w14:textId="61E4A5D3"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r w:rsidRPr="00F71651">
        <w:rPr>
          <w:rFonts w:ascii="Consolas" w:hAnsi="Consolas" w:cs="Times New Roman"/>
          <w:sz w:val="20"/>
          <w:szCs w:val="20"/>
        </w:rPr>
        <w:t>ssgd_v_2_0.dta</w:t>
      </w:r>
      <w:r w:rsidRPr="00F71651">
        <w:rPr>
          <w:rFonts w:ascii="Garamond" w:hAnsi="Garamond" w:cs="Times New Roman"/>
        </w:rPr>
        <w:t>) and long (</w:t>
      </w:r>
      <w:proofErr w:type="spellStart"/>
      <w:r w:rsidRPr="00F71651">
        <w:rPr>
          <w:rFonts w:ascii="Consolas" w:hAnsi="Consolas" w:cs="Times New Roman"/>
          <w:sz w:val="20"/>
          <w:szCs w:val="20"/>
        </w:rPr>
        <w:t>ssgd_tableau.dta</w:t>
      </w:r>
      <w:proofErr w:type="spellEnd"/>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16" w:name="_Toc163821668"/>
      <w:r>
        <w:rPr>
          <w:rFonts w:ascii="Garamond" w:hAnsi="Garamond" w:cs="Times New Roman"/>
          <w:b/>
          <w:bCs/>
          <w:sz w:val="24"/>
          <w:szCs w:val="24"/>
        </w:rPr>
        <w:t>Wide data format</w:t>
      </w:r>
      <w:bookmarkEnd w:id="16"/>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1F213973"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As mentioned before, Appendix B offers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The standardization process does not apply to external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215B4EBF"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1"/>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an external indicator. There are five terms used: </w:t>
      </w:r>
      <w:proofErr w:type="spellStart"/>
      <w:r>
        <w:rPr>
          <w:rFonts w:ascii="Garamond" w:hAnsi="Garamond" w:cs="Times New Roman"/>
        </w:rPr>
        <w:t>i</w:t>
      </w:r>
      <w:proofErr w:type="spellEnd"/>
      <w:r>
        <w:rPr>
          <w:rFonts w:ascii="Garamond" w:hAnsi="Garamond" w:cs="Times New Roman"/>
        </w:rPr>
        <w:t xml:space="preserve">) </w:t>
      </w:r>
      <w:proofErr w:type="spellStart"/>
      <w:r w:rsidRPr="007D010E">
        <w:rPr>
          <w:rFonts w:ascii="Consolas" w:hAnsi="Consolas" w:cs="Times New Roman"/>
          <w:sz w:val="20"/>
          <w:szCs w:val="20"/>
        </w:rPr>
        <w:t>si</w:t>
      </w:r>
      <w:proofErr w:type="spellEnd"/>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proofErr w:type="spellStart"/>
      <w:r w:rsidRPr="007D010E">
        <w:rPr>
          <w:rFonts w:ascii="Consolas" w:hAnsi="Consolas" w:cs="Times New Roman"/>
          <w:sz w:val="20"/>
          <w:szCs w:val="20"/>
        </w:rPr>
        <w:t>sc</w:t>
      </w:r>
      <w:proofErr w:type="spellEnd"/>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Pr="007D010E">
        <w:rPr>
          <w:rFonts w:ascii="Consolas" w:hAnsi="Consolas" w:cs="Times New Roman"/>
          <w:sz w:val="20"/>
          <w:szCs w:val="20"/>
        </w:rPr>
        <w:t>ex</w:t>
      </w:r>
      <w:r>
        <w:rPr>
          <w:rFonts w:ascii="Garamond" w:hAnsi="Garamond" w:cs="Times New Roman"/>
        </w:rPr>
        <w:t xml:space="preserve"> (External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proofErr w:type="spellStart"/>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proofErr w:type="spellEnd"/>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proofErr w:type="gramStart"/>
      <w:r w:rsidR="00150D34" w:rsidRPr="007D010E">
        <w:rPr>
          <w:rFonts w:ascii="Consolas" w:hAnsi="Consolas" w:cs="Times New Roman"/>
          <w:sz w:val="20"/>
          <w:szCs w:val="20"/>
        </w:rPr>
        <w:t>_[</w:t>
      </w:r>
      <w:proofErr w:type="gramEnd"/>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proofErr w:type="spellStart"/>
      <w:r w:rsidRPr="007D010E">
        <w:rPr>
          <w:rFonts w:ascii="Consolas" w:hAnsi="Consolas" w:cs="Times New Roman"/>
          <w:sz w:val="20"/>
          <w:szCs w:val="20"/>
        </w:rPr>
        <w:t>govtra</w:t>
      </w:r>
      <w:proofErr w:type="spellEnd"/>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 xml:space="preserve">includes </w:t>
      </w:r>
      <w:proofErr w:type="gramStart"/>
      <w:r w:rsidR="00446AE4" w:rsidRPr="00E2379C">
        <w:rPr>
          <w:rFonts w:ascii="Garamond" w:hAnsi="Garamond" w:cs="Times New Roman"/>
        </w:rPr>
        <w:t>metadata</w:t>
      </w:r>
      <w:proofErr w:type="gramEnd"/>
      <w:r w:rsidR="00446AE4" w:rsidRPr="00E2379C">
        <w:rPr>
          <w:rFonts w:ascii="Garamond" w:hAnsi="Garamond" w:cs="Times New Roman"/>
        </w:rPr>
        <w:t xml:space="preserve"> for all computations involved.</w:t>
      </w:r>
      <w:r w:rsidRPr="00E2379C">
        <w:rPr>
          <w:rFonts w:ascii="Garamond" w:hAnsi="Garamond" w:cs="Times New Roman"/>
        </w:rPr>
        <w:t xml:space="preserve"> </w:t>
      </w:r>
      <w:proofErr w:type="gramStart"/>
      <w:r w:rsidRPr="00E2379C">
        <w:rPr>
          <w:rFonts w:ascii="Garamond" w:hAnsi="Garamond" w:cs="Times New Roman"/>
        </w:rPr>
        <w:t>In particular, it</w:t>
      </w:r>
      <w:proofErr w:type="gramEnd"/>
      <w:r w:rsidRPr="00E2379C">
        <w:rPr>
          <w:rFonts w:ascii="Garamond" w:hAnsi="Garamond" w:cs="Times New Roman"/>
        </w:rPr>
        <w:t xml:space="preserve">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17" w:name="_Toc163821669"/>
      <w:r>
        <w:rPr>
          <w:rFonts w:ascii="Garamond" w:hAnsi="Garamond" w:cs="Times New Roman"/>
          <w:b/>
          <w:bCs/>
          <w:sz w:val="24"/>
          <w:szCs w:val="24"/>
        </w:rPr>
        <w:t>Long data format</w:t>
      </w:r>
      <w:bookmarkEnd w:id="17"/>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07D361CD" w:rsidR="00C55605" w:rsidRDefault="00C55605" w:rsidP="00C55605">
      <w:pPr>
        <w:spacing w:line="360" w:lineRule="auto"/>
        <w:jc w:val="both"/>
        <w:rPr>
          <w:rFonts w:ascii="Garamond" w:hAnsi="Garamond" w:cs="Times New Roman"/>
        </w:rPr>
      </w:pPr>
      <w:r w:rsidRPr="00C55605">
        <w:rPr>
          <w:rFonts w:ascii="Garamond" w:hAnsi="Garamond" w:cs="Times New Roman"/>
          <w:b/>
          <w:bCs/>
        </w:rPr>
        <w:t>Country identifiers</w:t>
      </w:r>
      <w:r w:rsidRPr="00C55605">
        <w:rPr>
          <w:rFonts w:ascii="Garamond" w:hAnsi="Garamond" w:cs="Times New Roman"/>
        </w:rPr>
        <w:t xml:space="preserve">: </w:t>
      </w:r>
      <w:proofErr w:type="spellStart"/>
      <w:r w:rsidRPr="00C55605">
        <w:rPr>
          <w:rFonts w:ascii="Consolas" w:hAnsi="Consolas" w:cs="Times New Roman"/>
          <w:sz w:val="20"/>
          <w:szCs w:val="20"/>
        </w:rPr>
        <w:t>countryname</w:t>
      </w:r>
      <w:proofErr w:type="spellEnd"/>
      <w:r w:rsidRPr="00C55605">
        <w:rPr>
          <w:rFonts w:ascii="Garamond" w:hAnsi="Garamond" w:cs="Times New Roman"/>
          <w:sz w:val="20"/>
          <w:szCs w:val="20"/>
        </w:rPr>
        <w:t xml:space="preserve"> </w:t>
      </w:r>
      <w:r w:rsidRPr="00C55605">
        <w:rPr>
          <w:rFonts w:ascii="Garamond" w:hAnsi="Garamond" w:cs="Times New Roman"/>
        </w:rPr>
        <w:t xml:space="preserve">(country name), </w:t>
      </w:r>
      <w:proofErr w:type="spellStart"/>
      <w:r w:rsidRPr="00C55605">
        <w:rPr>
          <w:rFonts w:ascii="Consolas" w:hAnsi="Consolas" w:cs="Times New Roman"/>
          <w:sz w:val="20"/>
          <w:szCs w:val="20"/>
        </w:rPr>
        <w:t>countrycode</w:t>
      </w:r>
      <w:proofErr w:type="spellEnd"/>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r w:rsidRPr="00C55605">
        <w:rPr>
          <w:rFonts w:ascii="Consolas" w:hAnsi="Consolas" w:cs="Times New Roman"/>
          <w:sz w:val="20"/>
          <w:szCs w:val="20"/>
        </w:rPr>
        <w:t>region2</w:t>
      </w:r>
      <w:r w:rsidRPr="00C55605">
        <w:rPr>
          <w:rFonts w:ascii="Garamond" w:hAnsi="Garamond" w:cs="Times New Roman"/>
        </w:rPr>
        <w:t xml:space="preserve"> (</w:t>
      </w:r>
      <w:r>
        <w:rPr>
          <w:rFonts w:ascii="Garamond" w:hAnsi="Garamond" w:cs="Times New Roman"/>
        </w:rPr>
        <w:t xml:space="preserve">according to </w:t>
      </w:r>
      <w:r w:rsidRPr="00C55605">
        <w:rPr>
          <w:rFonts w:ascii="Garamond" w:hAnsi="Garamond" w:cs="Times New Roman"/>
        </w:rPr>
        <w:t xml:space="preserve">DEC classification), </w:t>
      </w:r>
      <w:proofErr w:type="spellStart"/>
      <w:r w:rsidRPr="00C55605">
        <w:rPr>
          <w:rFonts w:ascii="Consolas" w:hAnsi="Consolas" w:cs="Times New Roman"/>
          <w:sz w:val="20"/>
          <w:szCs w:val="20"/>
        </w:rPr>
        <w:t>incomegroup</w:t>
      </w:r>
      <w:proofErr w:type="spellEnd"/>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 xml:space="preserve">WBG classification), and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p>
    <w:p w14:paraId="5CFC960D" w14:textId="36064D83"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external variables),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6CFB30CC"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w:t>
      </w:r>
      <w:proofErr w:type="gramStart"/>
      <w:r w:rsidRPr="00C55605">
        <w:rPr>
          <w:rFonts w:ascii="Garamond" w:hAnsi="Garamond" w:cs="Times New Roman"/>
        </w:rPr>
        <w:t>similar to</w:t>
      </w:r>
      <w:proofErr w:type="gramEnd"/>
      <w:r w:rsidRPr="00C55605">
        <w:rPr>
          <w:rFonts w:ascii="Garamond" w:hAnsi="Garamond" w:cs="Times New Roman"/>
        </w:rPr>
        <w:t xml:space="preserve"> variable labeling in the wide format except that it ignores wave information, i.e. </w:t>
      </w:r>
      <w:proofErr w:type="spellStart"/>
      <w:r w:rsidRPr="00C55605">
        <w:rPr>
          <w:rFonts w:ascii="Consolas" w:hAnsi="Consolas" w:cs="Times New Roman"/>
          <w:sz w:val="20"/>
          <w:szCs w:val="20"/>
        </w:rPr>
        <w:t>varname</w:t>
      </w:r>
      <w:proofErr w:type="spellEnd"/>
      <w:r w:rsidRPr="00C55605">
        <w:rPr>
          <w:rFonts w:ascii="Consolas" w:hAnsi="Consolas" w:cs="Times New Roman"/>
          <w:sz w:val="20"/>
          <w:szCs w:val="20"/>
        </w:rPr>
        <w:t>: [dim]_[</w:t>
      </w:r>
      <w:proofErr w:type="spellStart"/>
      <w:r w:rsidRPr="00C55605">
        <w:rPr>
          <w:rFonts w:ascii="Consolas" w:hAnsi="Consolas" w:cs="Times New Roman"/>
          <w:sz w:val="20"/>
          <w:szCs w:val="20"/>
        </w:rPr>
        <w:t>short_name</w:t>
      </w:r>
      <w:proofErr w:type="spellEnd"/>
      <w:r w:rsidRPr="00C55605">
        <w:rPr>
          <w:rFonts w:ascii="Consolas" w:hAnsi="Consolas" w:cs="Times New Roman"/>
          <w:sz w:val="20"/>
          <w:szCs w:val="20"/>
        </w:rPr>
        <w:t>]</w:t>
      </w:r>
      <w:r w:rsidRPr="00C55605">
        <w:rPr>
          <w:rFonts w:ascii="Garamond" w:hAnsi="Garamond" w:cs="Times New Roman"/>
        </w:rPr>
        <w:t>),</w:t>
      </w:r>
      <w:r>
        <w:rPr>
          <w:rFonts w:ascii="Garamond" w:hAnsi="Garamond" w:cs="Times New Roman"/>
        </w:rPr>
        <w:t xml:space="preserve"> and</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 definition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lastRenderedPageBreak/>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proofErr w:type="spellStart"/>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proofErr w:type="spellEnd"/>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72BDE89D" w14:textId="09CCEE06" w:rsidR="00E77317" w:rsidRPr="00E77317" w:rsidRDefault="00E77317" w:rsidP="00E77317">
      <w:pPr>
        <w:spacing w:line="360" w:lineRule="auto"/>
        <w:jc w:val="both"/>
        <w:rPr>
          <w:rFonts w:ascii="Garamond" w:hAnsi="Garamond" w:cs="Times New Roman"/>
        </w:rPr>
      </w:pPr>
      <w:r w:rsidRPr="00E77317">
        <w:rPr>
          <w:rFonts w:ascii="Garamond" w:hAnsi="Garamond" w:cs="Times New Roman"/>
        </w:rPr>
        <w:t xml:space="preserve">For </w:t>
      </w:r>
      <w:r>
        <w:rPr>
          <w:rFonts w:ascii="Garamond" w:hAnsi="Garamond" w:cs="Times New Roman"/>
        </w:rPr>
        <w:t>instance</w:t>
      </w:r>
      <w:r w:rsidRPr="00E77317">
        <w:rPr>
          <w:rFonts w:ascii="Garamond" w:hAnsi="Garamond" w:cs="Times New Roman"/>
        </w:rPr>
        <w:t xml:space="preserve">, </w:t>
      </w:r>
      <w:r w:rsidR="00712C8F">
        <w:rPr>
          <w:rFonts w:ascii="Garamond" w:hAnsi="Garamond" w:cs="Times New Roman"/>
        </w:rPr>
        <w:t>if</w:t>
      </w:r>
      <w:r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proofErr w:type="spellStart"/>
      <w:r w:rsidRPr="00E77317">
        <w:rPr>
          <w:rFonts w:ascii="Consolas" w:hAnsi="Consolas" w:cs="Times New Roman"/>
          <w:sz w:val="20"/>
          <w:szCs w:val="20"/>
        </w:rPr>
        <w:t>br</w:t>
      </w:r>
      <w:proofErr w:type="spellEnd"/>
      <w:r w:rsidRPr="00E77317">
        <w:rPr>
          <w:rFonts w:ascii="Consolas" w:hAnsi="Consolas" w:cs="Times New Roman"/>
          <w:sz w:val="20"/>
          <w:szCs w:val="20"/>
        </w:rPr>
        <w:t xml:space="preserve"> </w:t>
      </w:r>
      <w:proofErr w:type="spellStart"/>
      <w:r w:rsidRPr="00E77317">
        <w:rPr>
          <w:rFonts w:ascii="Consolas" w:hAnsi="Consolas" w:cs="Times New Roman"/>
          <w:sz w:val="20"/>
          <w:szCs w:val="20"/>
        </w:rPr>
        <w:t>countryname</w:t>
      </w:r>
      <w:proofErr w:type="spellEnd"/>
      <w:r w:rsidRPr="00E77317">
        <w:rPr>
          <w:rFonts w:ascii="Consolas" w:hAnsi="Consolas" w:cs="Times New Roman"/>
          <w:sz w:val="20"/>
          <w:szCs w:val="20"/>
        </w:rPr>
        <w:t xml:space="preserve"> value period if </w:t>
      </w:r>
      <w:proofErr w:type="spellStart"/>
      <w:r w:rsidRPr="00E77317">
        <w:rPr>
          <w:rFonts w:ascii="Consolas" w:hAnsi="Consolas" w:cs="Times New Roman"/>
          <w:sz w:val="20"/>
          <w:szCs w:val="20"/>
        </w:rPr>
        <w:t>countrycode</w:t>
      </w:r>
      <w:proofErr w:type="spellEnd"/>
      <w:r w:rsidRPr="00E77317">
        <w:rPr>
          <w:rFonts w:ascii="Consolas" w:hAnsi="Consolas" w:cs="Times New Roman"/>
          <w:sz w:val="20"/>
          <w:szCs w:val="20"/>
        </w:rPr>
        <w:t>=="PER" &amp; wave==1 &amp; short=="</w:t>
      </w:r>
      <w:proofErr w:type="spellStart"/>
      <w:r w:rsidRPr="00E77317">
        <w:rPr>
          <w:rFonts w:ascii="Consolas" w:hAnsi="Consolas" w:cs="Times New Roman"/>
          <w:sz w:val="20"/>
          <w:szCs w:val="20"/>
        </w:rPr>
        <w:t>re_govtra</w:t>
      </w:r>
      <w:proofErr w:type="spellEnd"/>
      <w:r w:rsidRPr="00E77317">
        <w:rPr>
          <w:rFonts w:ascii="Consolas" w:hAnsi="Consolas" w:cs="Times New Roman"/>
          <w:sz w:val="20"/>
          <w:szCs w:val="20"/>
        </w:rPr>
        <w:t>" &amp; area=="Subnational"</w:t>
      </w:r>
    </w:p>
    <w:p w14:paraId="5934ED5B" w14:textId="3BB23423" w:rsidR="00E77317" w:rsidRDefault="006F43C2" w:rsidP="00E77317">
      <w:pPr>
        <w:spacing w:line="360" w:lineRule="auto"/>
        <w:jc w:val="both"/>
        <w:rPr>
          <w:rFonts w:ascii="Garamond" w:hAnsi="Garamond" w:cs="Times New Roman"/>
        </w:rPr>
      </w:pPr>
      <w:r>
        <w:rPr>
          <w:rFonts w:ascii="Garamond" w:hAnsi="Garamond" w:cs="Times New Roman"/>
        </w:rPr>
        <w:t>He or she</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18" w:name="_Toc163821670"/>
      <w:r w:rsidRPr="00212034">
        <w:rPr>
          <w:rFonts w:ascii="Garamond" w:hAnsi="Garamond" w:cs="Times New Roman"/>
          <w:b/>
          <w:bCs/>
          <w:sz w:val="24"/>
          <w:szCs w:val="24"/>
        </w:rPr>
        <w:t>Automation processes and replicability of the SSGD v2.0</w:t>
      </w:r>
      <w:bookmarkEnd w:id="18"/>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41"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lastRenderedPageBreak/>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proofErr w:type="spellStart"/>
      <w:r w:rsidR="00970C30" w:rsidRPr="00117D2A">
        <w:rPr>
          <w:rFonts w:ascii="Consolas" w:hAnsi="Consolas" w:cs="Times New Roman"/>
          <w:sz w:val="20"/>
          <w:szCs w:val="20"/>
        </w:rPr>
        <w:t>datalibweb</w:t>
      </w:r>
      <w:proofErr w:type="spellEnd"/>
      <w:r w:rsidR="00970C30" w:rsidRPr="00F60792">
        <w:rPr>
          <w:rFonts w:ascii="Garamond" w:hAnsi="Garamond" w:cs="Times New Roman"/>
        </w:rPr>
        <w:t xml:space="preserve"> and </w:t>
      </w:r>
      <w:proofErr w:type="spellStart"/>
      <w:r w:rsidR="00970C30" w:rsidRPr="00117D2A">
        <w:rPr>
          <w:rFonts w:ascii="Consolas" w:hAnsi="Consolas" w:cs="Times New Roman"/>
          <w:sz w:val="20"/>
          <w:szCs w:val="20"/>
        </w:rPr>
        <w:t>wbopendata</w:t>
      </w:r>
      <w:proofErr w:type="spellEnd"/>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proofErr w:type="spellStart"/>
      <w:r w:rsidR="00742B30" w:rsidRPr="00117D2A">
        <w:rPr>
          <w:rFonts w:ascii="Consolas" w:hAnsi="Consolas" w:cs="Times New Roman"/>
          <w:sz w:val="20"/>
          <w:szCs w:val="20"/>
        </w:rPr>
        <w:t>datalibweb</w:t>
      </w:r>
      <w:proofErr w:type="spellEnd"/>
      <w:r w:rsidR="00742B30" w:rsidRPr="00F60792">
        <w:rPr>
          <w:rFonts w:ascii="Garamond" w:hAnsi="Garamond" w:cs="Times New Roman"/>
        </w:rPr>
        <w:t xml:space="preserve"> package enables the user to access harmonized household surveys from the World Bank’s microdata library, such as GMD (</w:t>
      </w:r>
      <w:hyperlink r:id="rId47"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proofErr w:type="spellStart"/>
      <w:r w:rsidR="00742B30" w:rsidRPr="00117D2A">
        <w:rPr>
          <w:rFonts w:ascii="Consolas" w:hAnsi="Consolas" w:cs="Times New Roman"/>
          <w:sz w:val="20"/>
          <w:szCs w:val="20"/>
        </w:rPr>
        <w:t>wbopendata</w:t>
      </w:r>
      <w:proofErr w:type="spellEnd"/>
      <w:r w:rsidR="00742B30" w:rsidRPr="00F60792">
        <w:rPr>
          <w:rFonts w:ascii="Garamond" w:hAnsi="Garamond" w:cs="Times New Roman"/>
        </w:rPr>
        <w:t xml:space="preserve"> package enables the user to access over 3000 indicators from the World Bank databases (</w:t>
      </w:r>
      <w:hyperlink r:id="rId48"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w:t>
      </w:r>
      <w:proofErr w:type="gramStart"/>
      <w:r w:rsidR="009F3570" w:rsidRPr="00117D2A">
        <w:rPr>
          <w:rFonts w:ascii="Consolas" w:hAnsi="Consolas" w:cs="Times New Roman"/>
          <w:sz w:val="20"/>
          <w:szCs w:val="20"/>
        </w:rPr>
        <w:t>profile.R</w:t>
      </w:r>
      <w:proofErr w:type="gramEnd"/>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It is essential to declare the same path or working directory in both 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proofErr w:type="gramStart"/>
      <w:r w:rsidR="00040016" w:rsidRPr="00E2379C">
        <w:rPr>
          <w:rFonts w:ascii="Garamond" w:hAnsi="Garamond" w:cs="Times New Roman"/>
        </w:rPr>
        <w:t>is</w:t>
      </w:r>
      <w:proofErr w:type="gramEnd"/>
      <w:r w:rsidR="00040016" w:rsidRPr="00E2379C">
        <w:rPr>
          <w:rFonts w:ascii="Garamond" w:hAnsi="Garamond" w:cs="Times New Roman"/>
        </w:rPr>
        <w:t xml:space="preserve">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w:t>
      </w:r>
      <w:proofErr w:type="gramStart"/>
      <w:r w:rsidR="005E77D7" w:rsidRPr="00117D2A">
        <w:rPr>
          <w:rFonts w:ascii="Consolas" w:hAnsi="Consolas" w:cs="Times New Roman"/>
          <w:sz w:val="20"/>
          <w:szCs w:val="20"/>
        </w:rPr>
        <w:t>1.R</w:t>
      </w:r>
      <w:proofErr w:type="gramEnd"/>
      <w:r w:rsidR="005E77D7" w:rsidRPr="00E2379C">
        <w:rPr>
          <w:rFonts w:ascii="Garamond" w:hAnsi="Garamond" w:cs="Times New Roman"/>
        </w:rPr>
        <w:t xml:space="preserve">" and </w:t>
      </w:r>
      <w:r w:rsidR="005E77D7" w:rsidRPr="00E2379C">
        <w:rPr>
          <w:rFonts w:ascii="Garamond" w:hAnsi="Garamond" w:cs="Times New Roman"/>
        </w:rPr>
        <w:lastRenderedPageBreak/>
        <w:t>"</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2"/>
      </w:r>
      <w:r w:rsidR="00E63B1C" w:rsidRPr="00E2379C">
        <w:rPr>
          <w:rFonts w:ascii="Garamond" w:hAnsi="Garamond" w:cs="Times New Roman"/>
        </w:rPr>
        <w:t>.</w:t>
      </w:r>
    </w:p>
    <w:p w14:paraId="41E94E84" w14:textId="68ACDA73"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B16D97">
        <w:rPr>
          <w:rFonts w:ascii="Garamond" w:hAnsi="Garamond" w:cs="Times New Roman"/>
        </w:rPr>
        <w:t>4</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w:t>
      </w:r>
      <w:proofErr w:type="gramStart"/>
      <w:r w:rsidR="00054616" w:rsidRPr="00B16D97">
        <w:rPr>
          <w:rFonts w:ascii="Consolas" w:hAnsi="Consolas" w:cs="Times New Roman"/>
          <w:sz w:val="20"/>
          <w:szCs w:val="20"/>
        </w:rPr>
        <w:t>1</w:t>
      </w:r>
      <w:r w:rsidR="002C427F" w:rsidRPr="00B16D97">
        <w:rPr>
          <w:rFonts w:ascii="Consolas" w:hAnsi="Consolas" w:cs="Times New Roman"/>
          <w:sz w:val="20"/>
          <w:szCs w:val="20"/>
        </w:rPr>
        <w:t>.R</w:t>
      </w:r>
      <w:proofErr w:type="gramEnd"/>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All downloaded files are stored in the “</w:t>
      </w:r>
      <w:proofErr w:type="spellStart"/>
      <w:r w:rsidR="00331DF0">
        <w:rPr>
          <w:rFonts w:ascii="Garamond" w:hAnsi="Garamond" w:cs="Times New Roman"/>
        </w:rPr>
        <w:t>raw_data</w:t>
      </w:r>
      <w:proofErr w:type="spellEnd"/>
      <w:r w:rsidR="00331DF0">
        <w:rPr>
          <w:rFonts w:ascii="Garamond" w:hAnsi="Garamond" w:cs="Times New Roman"/>
        </w:rPr>
        <w:t xml:space="preserve">”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Appendix C</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FD049E8"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1C27D7">
        <w:rPr>
          <w:rFonts w:ascii="Garamond" w:hAnsi="Garamond" w:cs="Times New Roman"/>
          <w:b/>
          <w:bCs/>
        </w:rPr>
        <w:t>5</w:t>
      </w:r>
      <w:r w:rsidR="00B16D97" w:rsidRPr="00212034">
        <w:rPr>
          <w:rFonts w:ascii="Garamond" w:hAnsi="Garamond" w:cs="Times New Roman"/>
          <w:b/>
          <w:bCs/>
        </w:rPr>
        <w:t xml:space="preserve">: </w:t>
      </w:r>
      <w:r w:rsidR="00252C3B" w:rsidRPr="00212034">
        <w:rPr>
          <w:rFonts w:ascii="Garamond" w:hAnsi="Garamond" w:cs="Times New Roman"/>
          <w:b/>
          <w:bCs/>
        </w:rPr>
        <w:t xml:space="preserve">Databases used: Access and download </w:t>
      </w:r>
      <w:proofErr w:type="gramStart"/>
      <w:r w:rsidR="00252C3B" w:rsidRPr="00212034">
        <w:rPr>
          <w:rFonts w:ascii="Garamond" w:hAnsi="Garamond" w:cs="Times New Roman"/>
          <w:b/>
          <w:bCs/>
        </w:rPr>
        <w:t>process</w:t>
      </w:r>
      <w:proofErr w:type="gramEnd"/>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Source</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Registration</w:t>
            </w:r>
            <w:proofErr w:type="spellEnd"/>
            <w:r w:rsidRPr="004A06C6">
              <w:rPr>
                <w:rFonts w:ascii="Garamond" w:eastAsia="Times New Roman" w:hAnsi="Garamond" w:cs="Calibri"/>
                <w:b/>
                <w:bCs/>
                <w:color w:val="000000"/>
                <w:kern w:val="0"/>
                <w:lang w:val="es-PE" w:eastAsia="es-PE"/>
                <w14:ligatures w14:val="none"/>
              </w:rPr>
              <w:t xml:space="preserve"> </w:t>
            </w:r>
            <w:proofErr w:type="spellStart"/>
            <w:r w:rsidRPr="004A06C6">
              <w:rPr>
                <w:rFonts w:ascii="Garamond" w:eastAsia="Times New Roman" w:hAnsi="Garamond" w:cs="Calibri"/>
                <w:b/>
                <w:bCs/>
                <w:color w:val="000000"/>
                <w:kern w:val="0"/>
                <w:lang w:val="es-PE" w:eastAsia="es-PE"/>
                <w14:ligatures w14:val="none"/>
              </w:rPr>
              <w:t>required</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 xml:space="preserve">Download </w:t>
            </w:r>
            <w:proofErr w:type="spellStart"/>
            <w:r w:rsidRPr="004A06C6">
              <w:rPr>
                <w:rFonts w:ascii="Garamond" w:eastAsia="Times New Roman" w:hAnsi="Garamond" w:cs="Calibri"/>
                <w:b/>
                <w:bCs/>
                <w:color w:val="000000"/>
                <w:kern w:val="0"/>
                <w:lang w:val="es-PE" w:eastAsia="es-PE"/>
                <w14:ligatures w14:val="none"/>
              </w:rPr>
              <w:t>Type</w:t>
            </w:r>
            <w:proofErr w:type="spellEnd"/>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bl>
    <w:p w14:paraId="7AE404A0" w14:textId="78BD6B1F" w:rsidR="00D64E95" w:rsidRPr="00212034" w:rsidRDefault="00D64E95" w:rsidP="000107FF">
      <w:pPr>
        <w:rPr>
          <w:rFonts w:ascii="Garamond" w:hAnsi="Garamond" w:cs="Times New Roman"/>
          <w:b/>
          <w:bCs/>
        </w:rPr>
      </w:pPr>
      <w:bookmarkStart w:id="19" w:name="_Hlk153130621"/>
      <w:r w:rsidRPr="00212034">
        <w:rPr>
          <w:rFonts w:ascii="Garamond" w:hAnsi="Garamond" w:cs="Times New Roman"/>
          <w:b/>
          <w:bCs/>
        </w:rPr>
        <w:lastRenderedPageBreak/>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name</w:t>
      </w:r>
      <w:r w:rsidRPr="00E2379C">
        <w:rPr>
          <w:rFonts w:ascii="Garamond" w:hAnsi="Garamond" w:cs="Times New Roman"/>
        </w:rPr>
        <w:t xml:space="preserve"> indicates that it is processed data (unlike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04123DB7"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proofErr w:type="spellStart"/>
      <w:r w:rsidRPr="00E2379C">
        <w:rPr>
          <w:rFonts w:ascii="Garamond" w:hAnsi="Garamond" w:cs="Times New Roman"/>
        </w:rPr>
        <w:t>ownban</w:t>
      </w:r>
      <w:proofErr w:type="spellEnd"/>
      <w:r w:rsidR="00941620" w:rsidRPr="00E2379C">
        <w:rPr>
          <w:rFonts w:ascii="Garamond" w:hAnsi="Garamond" w:cs="Times New Roman"/>
        </w:rPr>
        <w:t>”</w:t>
      </w:r>
      <w:r w:rsidRPr="00E2379C">
        <w:rPr>
          <w:rFonts w:ascii="Garamond" w:hAnsi="Garamond" w:cs="Times New Roman"/>
        </w:rPr>
        <w:t xml:space="preserve"> </w:t>
      </w:r>
      <w:proofErr w:type="gramStart"/>
      <w:r w:rsidRPr="00E2379C">
        <w:rPr>
          <w:rFonts w:ascii="Garamond" w:hAnsi="Garamond" w:cs="Times New Roman"/>
        </w:rPr>
        <w:t>indicator  (</w:t>
      </w:r>
      <w:proofErr w:type="gramEnd"/>
      <w:r w:rsidRPr="00E2379C">
        <w:rPr>
          <w:rFonts w:ascii="Garamond" w:hAnsi="Garamond" w:cs="Times New Roman"/>
        </w:rPr>
        <w:t>%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8422442" w14:textId="2D2972AE" w:rsidR="00C23896" w:rsidRDefault="009D42EB" w:rsidP="001C27D7">
      <w:pPr>
        <w:spacing w:line="360" w:lineRule="auto"/>
        <w:jc w:val="both"/>
        <w:rPr>
          <w:rFonts w:ascii="Garamond" w:hAnsi="Garamond" w:cs="Times New Roman"/>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"final_data" folder will contain the final product of this master file, i.e., the data file "</w:t>
      </w:r>
      <w:r w:rsidRPr="004E4F03">
        <w:rPr>
          <w:rFonts w:ascii="Consolas" w:hAnsi="Consolas" w:cs="Times New Roman"/>
          <w:sz w:val="20"/>
          <w:szCs w:val="20"/>
        </w:rPr>
        <w:t>ssgd_v_2_0.dta</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19"/>
    </w:p>
    <w:p w14:paraId="75CB20B8" w14:textId="77777777" w:rsidR="00A67429" w:rsidRDefault="00A67429" w:rsidP="009D42EB">
      <w:pPr>
        <w:spacing w:line="360" w:lineRule="auto"/>
        <w:jc w:val="center"/>
        <w:rPr>
          <w:rFonts w:ascii="Garamond" w:hAnsi="Garamond" w:cs="Times New Roman"/>
          <w:b/>
          <w:bCs/>
        </w:rPr>
      </w:pPr>
    </w:p>
    <w:p w14:paraId="4DEBB0DF" w14:textId="77777777" w:rsidR="00A67429" w:rsidRDefault="00A67429" w:rsidP="009D42EB">
      <w:pPr>
        <w:spacing w:line="360" w:lineRule="auto"/>
        <w:jc w:val="center"/>
        <w:rPr>
          <w:rFonts w:ascii="Garamond" w:hAnsi="Garamond" w:cs="Times New Roman"/>
          <w:b/>
          <w:bCs/>
        </w:rPr>
      </w:pPr>
    </w:p>
    <w:p w14:paraId="5A646618" w14:textId="77777777" w:rsidR="00A67429" w:rsidRDefault="00A67429" w:rsidP="009D42EB">
      <w:pPr>
        <w:spacing w:line="360" w:lineRule="auto"/>
        <w:jc w:val="center"/>
        <w:rPr>
          <w:rFonts w:ascii="Garamond" w:hAnsi="Garamond" w:cs="Times New Roman"/>
          <w:b/>
          <w:bCs/>
        </w:rPr>
      </w:pPr>
    </w:p>
    <w:p w14:paraId="177C6DD5" w14:textId="77777777" w:rsidR="00A67429" w:rsidRDefault="00A67429" w:rsidP="009D42EB">
      <w:pPr>
        <w:spacing w:line="360" w:lineRule="auto"/>
        <w:jc w:val="center"/>
        <w:rPr>
          <w:rFonts w:ascii="Garamond" w:hAnsi="Garamond" w:cs="Times New Roman"/>
          <w:b/>
          <w:bCs/>
        </w:rPr>
      </w:pPr>
    </w:p>
    <w:p w14:paraId="3DA21475" w14:textId="77777777" w:rsidR="00A67429" w:rsidRDefault="00A67429" w:rsidP="009D42EB">
      <w:pPr>
        <w:spacing w:line="360" w:lineRule="auto"/>
        <w:jc w:val="center"/>
        <w:rPr>
          <w:rFonts w:ascii="Garamond" w:hAnsi="Garamond" w:cs="Times New Roman"/>
          <w:b/>
          <w:bCs/>
        </w:rPr>
      </w:pPr>
    </w:p>
    <w:p w14:paraId="72619C5E" w14:textId="77777777" w:rsidR="00A67429" w:rsidRDefault="00A67429" w:rsidP="009D42EB">
      <w:pPr>
        <w:spacing w:line="360" w:lineRule="auto"/>
        <w:jc w:val="center"/>
        <w:rPr>
          <w:rFonts w:ascii="Garamond" w:hAnsi="Garamond" w:cs="Times New Roman"/>
          <w:b/>
          <w:bCs/>
        </w:rPr>
      </w:pPr>
    </w:p>
    <w:p w14:paraId="3BEAE9AE" w14:textId="77777777" w:rsidR="00A67429" w:rsidRDefault="00A67429" w:rsidP="009D42EB">
      <w:pPr>
        <w:spacing w:line="360" w:lineRule="auto"/>
        <w:jc w:val="center"/>
        <w:rPr>
          <w:rFonts w:ascii="Garamond" w:hAnsi="Garamond" w:cs="Times New Roman"/>
          <w:b/>
          <w:bCs/>
        </w:rPr>
      </w:pPr>
    </w:p>
    <w:p w14:paraId="3E139E44" w14:textId="77777777" w:rsidR="00A67429" w:rsidRDefault="00A67429" w:rsidP="009D42EB">
      <w:pPr>
        <w:spacing w:line="360" w:lineRule="auto"/>
        <w:jc w:val="center"/>
        <w:rPr>
          <w:rFonts w:ascii="Garamond" w:hAnsi="Garamond" w:cs="Times New Roman"/>
          <w:b/>
          <w:bCs/>
        </w:rPr>
        <w:sectPr w:rsidR="00A67429" w:rsidSect="00352A96">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1AB5951" w14:textId="4362BA02" w:rsidR="00A67429" w:rsidRDefault="00A67429" w:rsidP="00A67429">
      <w:pPr>
        <w:spacing w:line="360" w:lineRule="auto"/>
        <w:ind w:left="-270"/>
        <w:jc w:val="center"/>
        <w:rPr>
          <w:rFonts w:ascii="Garamond" w:hAnsi="Garamond" w:cs="Times New Roman"/>
        </w:rPr>
        <w:sectPr w:rsidR="00A67429" w:rsidSect="00352A96">
          <w:pgSz w:w="16838" w:h="11906" w:orient="landscape"/>
          <w:pgMar w:top="1701" w:right="1418" w:bottom="1701" w:left="1418" w:header="709" w:footer="709" w:gutter="0"/>
          <w:cols w:space="708"/>
          <w:docGrid w:linePitch="360"/>
        </w:sectPr>
      </w:pPr>
      <w:r w:rsidRPr="00A67429">
        <w:rPr>
          <w:rFonts w:ascii="Garamond" w:hAnsi="Garamond" w:cs="Times New Roman"/>
          <w:noProof/>
        </w:rPr>
        <w:drawing>
          <wp:inline distT="0" distB="0" distL="0" distR="0" wp14:anchorId="3D86BD10" wp14:editId="5DB881A3">
            <wp:extent cx="8891270" cy="4461510"/>
            <wp:effectExtent l="0" t="0" r="5080" b="0"/>
            <wp:docPr id="74095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2716" name="Picture 1" descr="A screenshot of a computer&#10;&#10;Description automatically generated"/>
                    <pic:cNvPicPr/>
                  </pic:nvPicPr>
                  <pic:blipFill>
                    <a:blip r:embed="rId49"/>
                    <a:stretch>
                      <a:fillRect/>
                    </a:stretch>
                  </pic:blipFill>
                  <pic:spPr>
                    <a:xfrm>
                      <a:off x="0" y="0"/>
                      <a:ext cx="8891270" cy="4461510"/>
                    </a:xfrm>
                    <a:prstGeom prst="rect">
                      <a:avLst/>
                    </a:prstGeom>
                  </pic:spPr>
                </pic:pic>
              </a:graphicData>
            </a:graphic>
          </wp:inline>
        </w:drawing>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20" w:name="_Toc163821671"/>
      <w:r>
        <w:rPr>
          <w:rFonts w:ascii="Garamond" w:hAnsi="Garamond" w:cs="Times New Roman"/>
          <w:b/>
          <w:bCs/>
        </w:rPr>
        <w:lastRenderedPageBreak/>
        <w:t>Further improvements</w:t>
      </w:r>
      <w:bookmarkEnd w:id="20"/>
    </w:p>
    <w:p w14:paraId="47CA8601" w14:textId="501ACE7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over time,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352A96">
          <w:pgSz w:w="11906" w:h="16838"/>
          <w:pgMar w:top="1417" w:right="1701" w:bottom="1417" w:left="1701" w:header="708" w:footer="708" w:gutter="0"/>
          <w:cols w:space="708"/>
          <w:docGrid w:linePitch="360"/>
        </w:sectPr>
      </w:pPr>
    </w:p>
    <w:p w14:paraId="72A4DC0A" w14:textId="77777777" w:rsidR="00BF273A" w:rsidRDefault="009D42EB" w:rsidP="00BF273A">
      <w:pPr>
        <w:pStyle w:val="ListParagraph"/>
        <w:numPr>
          <w:ilvl w:val="0"/>
          <w:numId w:val="3"/>
        </w:numPr>
        <w:spacing w:line="360" w:lineRule="auto"/>
        <w:jc w:val="both"/>
        <w:outlineLvl w:val="0"/>
        <w:rPr>
          <w:rFonts w:ascii="Garamond" w:hAnsi="Garamond" w:cs="Times New Roman"/>
          <w:b/>
          <w:bCs/>
        </w:rPr>
      </w:pPr>
      <w:bookmarkStart w:id="21" w:name="_Toc163821672"/>
      <w:r w:rsidRPr="00C23896">
        <w:rPr>
          <w:rFonts w:ascii="Garamond" w:hAnsi="Garamond" w:cs="Times New Roman"/>
          <w:b/>
          <w:bCs/>
        </w:rPr>
        <w:lastRenderedPageBreak/>
        <w:t>Appendix</w:t>
      </w:r>
      <w:bookmarkEnd w:id="21"/>
    </w:p>
    <w:p w14:paraId="399A6385" w14:textId="31C6869A" w:rsidR="00BF273A" w:rsidRPr="00BF273A" w:rsidRDefault="00BF273A" w:rsidP="00BF273A">
      <w:pPr>
        <w:pStyle w:val="ListParagraph"/>
        <w:numPr>
          <w:ilvl w:val="0"/>
          <w:numId w:val="18"/>
        </w:numPr>
        <w:spacing w:line="360" w:lineRule="auto"/>
        <w:jc w:val="center"/>
        <w:rPr>
          <w:rFonts w:ascii="Garamond" w:hAnsi="Garamond" w:cs="Times New Roman"/>
          <w:b/>
          <w:bCs/>
        </w:rPr>
      </w:pPr>
      <w:r>
        <w:rPr>
          <w:rFonts w:ascii="Garamond" w:hAnsi="Garamond" w:cs="Times New Roman"/>
          <w:b/>
          <w:bCs/>
        </w:rPr>
        <w:t xml:space="preserve">Source </w:t>
      </w:r>
      <w:proofErr w:type="gramStart"/>
      <w:r>
        <w:rPr>
          <w:rFonts w:ascii="Garamond" w:hAnsi="Garamond" w:cs="Times New Roman"/>
          <w:b/>
          <w:bCs/>
        </w:rPr>
        <w:t>link</w:t>
      </w:r>
      <w:proofErr w:type="gramEnd"/>
      <w:r>
        <w:rPr>
          <w:rFonts w:ascii="Garamond" w:hAnsi="Garamond" w:cs="Times New Roman"/>
          <w:b/>
          <w:bCs/>
        </w:rPr>
        <w:t xml:space="preserve"> for all the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BF273A" w:rsidRPr="00F11EE5" w14:paraId="15BBC06D" w14:textId="77777777" w:rsidTr="0024005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72E8B0C4" w14:textId="77777777" w:rsidR="00BF273A" w:rsidRPr="00F11EE5" w:rsidRDefault="00BF273A" w:rsidP="0024005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spellStart"/>
            <w:r w:rsidRPr="00F11EE5">
              <w:rPr>
                <w:rFonts w:ascii="Garamond" w:eastAsia="Times New Roman" w:hAnsi="Garamond" w:cs="Times New Roman"/>
                <w:b/>
                <w:bCs/>
                <w:color w:val="000000"/>
                <w:kern w:val="0"/>
                <w:sz w:val="24"/>
                <w:szCs w:val="24"/>
                <w:lang w:val="es-PE" w:eastAsia="es-PE"/>
                <w14:ligatures w14:val="none"/>
              </w:rPr>
              <w:t>Source</w:t>
            </w:r>
            <w:proofErr w:type="spellEnd"/>
          </w:p>
        </w:tc>
        <w:tc>
          <w:tcPr>
            <w:tcW w:w="7371" w:type="dxa"/>
            <w:tcBorders>
              <w:top w:val="nil"/>
              <w:left w:val="nil"/>
              <w:bottom w:val="single" w:sz="4" w:space="0" w:color="auto"/>
              <w:right w:val="nil"/>
            </w:tcBorders>
            <w:shd w:val="clear" w:color="auto" w:fill="auto"/>
            <w:noWrap/>
            <w:vAlign w:val="center"/>
            <w:hideMark/>
          </w:tcPr>
          <w:p w14:paraId="63D24C08" w14:textId="77777777" w:rsidR="00BF273A" w:rsidRPr="00F11EE5" w:rsidRDefault="00BF273A" w:rsidP="0024005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gramStart"/>
            <w:r w:rsidRPr="00F11EE5">
              <w:rPr>
                <w:rFonts w:ascii="Garamond" w:eastAsia="Times New Roman" w:hAnsi="Garamond" w:cs="Times New Roman"/>
                <w:b/>
                <w:bCs/>
                <w:color w:val="000000"/>
                <w:kern w:val="0"/>
                <w:sz w:val="24"/>
                <w:szCs w:val="24"/>
                <w:lang w:val="es-PE" w:eastAsia="es-PE"/>
                <w14:ligatures w14:val="none"/>
              </w:rPr>
              <w:t>Link</w:t>
            </w:r>
            <w:proofErr w:type="gramEnd"/>
          </w:p>
        </w:tc>
      </w:tr>
      <w:tr w:rsidR="00BF273A" w:rsidRPr="00F11EE5" w14:paraId="6D57C43B"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ED1D031"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322CC34A"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Global </w:t>
            </w:r>
            <w:proofErr w:type="spellStart"/>
            <w:r w:rsidRPr="00F11EE5">
              <w:rPr>
                <w:rFonts w:ascii="Garamond" w:eastAsia="Times New Roman" w:hAnsi="Garamond" w:cs="Times New Roman"/>
                <w:color w:val="000000"/>
                <w:kern w:val="0"/>
                <w:lang w:val="es-PE" w:eastAsia="es-PE"/>
                <w14:ligatures w14:val="none"/>
              </w:rPr>
              <w:t>Monitoring</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Database</w:t>
            </w:r>
            <w:proofErr w:type="spellEnd"/>
            <w:r w:rsidRPr="00F11EE5">
              <w:rPr>
                <w:rFonts w:ascii="Garamond" w:eastAsia="Times New Roman" w:hAnsi="Garamond" w:cs="Times New Roman"/>
                <w:color w:val="000000"/>
                <w:kern w:val="0"/>
                <w:lang w:val="es-PE" w:eastAsia="es-PE"/>
                <w14:ligatures w14:val="none"/>
              </w:rPr>
              <w:t xml:space="preserve"> (GMD)</w:t>
            </w:r>
          </w:p>
        </w:tc>
        <w:tc>
          <w:tcPr>
            <w:tcW w:w="7371" w:type="dxa"/>
            <w:tcBorders>
              <w:top w:val="nil"/>
              <w:left w:val="nil"/>
              <w:bottom w:val="nil"/>
              <w:right w:val="nil"/>
            </w:tcBorders>
            <w:shd w:val="clear" w:color="000000" w:fill="F2F2F2"/>
            <w:noWrap/>
            <w:vAlign w:val="bottom"/>
            <w:hideMark/>
          </w:tcPr>
          <w:p w14:paraId="7A4CBF67"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proofErr w:type="spellStart"/>
            <w:r w:rsidRPr="00257FF1">
              <w:rPr>
                <w:rFonts w:ascii="Consolas" w:eastAsia="Times New Roman" w:hAnsi="Consolas" w:cs="Times New Roman"/>
                <w:color w:val="000000"/>
                <w:kern w:val="0"/>
                <w:sz w:val="20"/>
                <w:szCs w:val="20"/>
                <w:lang w:eastAsia="es-PE"/>
                <w14:ligatures w14:val="none"/>
              </w:rPr>
              <w:t>datalibweb</w:t>
            </w:r>
            <w:proofErr w:type="spellEnd"/>
            <w:r>
              <w:rPr>
                <w:rFonts w:ascii="Garamond" w:eastAsia="Times New Roman" w:hAnsi="Garamond" w:cs="Times New Roman"/>
                <w:color w:val="000000"/>
                <w:kern w:val="0"/>
                <w:lang w:eastAsia="es-PE"/>
                <w14:ligatures w14:val="none"/>
              </w:rPr>
              <w:t>.</w:t>
            </w:r>
          </w:p>
        </w:tc>
      </w:tr>
      <w:tr w:rsidR="00BF273A" w:rsidRPr="00F11EE5" w14:paraId="3F166EC1"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5B100856"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111CC3A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Afrobarometer</w:t>
            </w:r>
            <w:proofErr w:type="spellEnd"/>
            <w:r w:rsidRPr="00F11EE5">
              <w:rPr>
                <w:rFonts w:ascii="Garamond" w:eastAsia="Times New Roman" w:hAnsi="Garamond" w:cs="Times New Roman"/>
                <w:color w:val="000000"/>
                <w:kern w:val="0"/>
                <w:lang w:val="es-PE" w:eastAsia="es-PE"/>
                <w14:ligatures w14:val="none"/>
              </w:rPr>
              <w:t xml:space="preserve"> (AF)</w:t>
            </w:r>
          </w:p>
        </w:tc>
        <w:tc>
          <w:tcPr>
            <w:tcW w:w="7371" w:type="dxa"/>
            <w:tcBorders>
              <w:top w:val="nil"/>
              <w:left w:val="nil"/>
              <w:bottom w:val="nil"/>
              <w:right w:val="nil"/>
            </w:tcBorders>
            <w:shd w:val="clear" w:color="auto" w:fill="auto"/>
            <w:noWrap/>
            <w:vAlign w:val="bottom"/>
            <w:hideMark/>
          </w:tcPr>
          <w:p w14:paraId="178AB38A"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0" w:history="1">
              <w:r w:rsidR="00BF273A" w:rsidRPr="00F11EE5">
                <w:rPr>
                  <w:rFonts w:ascii="Garamond" w:eastAsia="Times New Roman" w:hAnsi="Garamond" w:cs="Times New Roman"/>
                  <w:color w:val="467886"/>
                  <w:kern w:val="0"/>
                  <w:u w:val="single"/>
                  <w:lang w:val="es-PE" w:eastAsia="es-PE"/>
                  <w14:ligatures w14:val="none"/>
                </w:rPr>
                <w:t>https://www.afrobarometer.org/</w:t>
              </w:r>
            </w:hyperlink>
          </w:p>
        </w:tc>
      </w:tr>
      <w:tr w:rsidR="00BF273A" w:rsidRPr="00F11EE5" w14:paraId="46BB7651"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AA3AFBD"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499C664"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Arab</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(AB)</w:t>
            </w:r>
          </w:p>
        </w:tc>
        <w:tc>
          <w:tcPr>
            <w:tcW w:w="7371" w:type="dxa"/>
            <w:tcBorders>
              <w:top w:val="nil"/>
              <w:left w:val="nil"/>
              <w:bottom w:val="nil"/>
              <w:right w:val="nil"/>
            </w:tcBorders>
            <w:shd w:val="clear" w:color="000000" w:fill="F2F2F2"/>
            <w:noWrap/>
            <w:vAlign w:val="bottom"/>
            <w:hideMark/>
          </w:tcPr>
          <w:p w14:paraId="2A5CD747"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1" w:history="1">
              <w:r w:rsidR="00BF273A" w:rsidRPr="00F11EE5">
                <w:rPr>
                  <w:rFonts w:ascii="Garamond" w:eastAsia="Times New Roman" w:hAnsi="Garamond" w:cs="Times New Roman"/>
                  <w:color w:val="467886"/>
                  <w:kern w:val="0"/>
                  <w:u w:val="single"/>
                  <w:lang w:val="es-PE" w:eastAsia="es-PE"/>
                  <w14:ligatures w14:val="none"/>
                </w:rPr>
                <w:t>https://www.arabbarometer.org/</w:t>
              </w:r>
            </w:hyperlink>
          </w:p>
        </w:tc>
      </w:tr>
      <w:tr w:rsidR="00BF273A" w:rsidRPr="00F11EE5" w14:paraId="1363C9F5"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20B6CBC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1FB38C26"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Asian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(ASB)</w:t>
            </w:r>
          </w:p>
        </w:tc>
        <w:tc>
          <w:tcPr>
            <w:tcW w:w="7371" w:type="dxa"/>
            <w:tcBorders>
              <w:top w:val="nil"/>
              <w:left w:val="nil"/>
              <w:bottom w:val="nil"/>
              <w:right w:val="nil"/>
            </w:tcBorders>
            <w:shd w:val="clear" w:color="auto" w:fill="auto"/>
            <w:noWrap/>
            <w:vAlign w:val="bottom"/>
            <w:hideMark/>
          </w:tcPr>
          <w:p w14:paraId="461449E6"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2" w:history="1">
              <w:r w:rsidR="00BF273A" w:rsidRPr="00F11EE5">
                <w:rPr>
                  <w:rFonts w:ascii="Garamond" w:eastAsia="Times New Roman" w:hAnsi="Garamond" w:cs="Times New Roman"/>
                  <w:color w:val="467886"/>
                  <w:kern w:val="0"/>
                  <w:u w:val="single"/>
                  <w:lang w:val="es-PE" w:eastAsia="es-PE"/>
                  <w14:ligatures w14:val="none"/>
                </w:rPr>
                <w:t>https://www.asianbarometer.org/</w:t>
              </w:r>
            </w:hyperlink>
          </w:p>
        </w:tc>
      </w:tr>
      <w:tr w:rsidR="00BF273A" w:rsidRPr="00232611" w14:paraId="4AF032C6"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764787D4"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3132C953"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Latinobarometro</w:t>
            </w:r>
            <w:proofErr w:type="spellEnd"/>
            <w:r w:rsidRPr="00F11EE5">
              <w:rPr>
                <w:rFonts w:ascii="Garamond" w:eastAsia="Times New Roman" w:hAnsi="Garamond" w:cs="Times New Roman"/>
                <w:color w:val="000000"/>
                <w:kern w:val="0"/>
                <w:lang w:val="es-PE" w:eastAsia="es-PE"/>
                <w14:ligatures w14:val="none"/>
              </w:rPr>
              <w:t xml:space="preserve"> (LB)</w:t>
            </w:r>
          </w:p>
        </w:tc>
        <w:tc>
          <w:tcPr>
            <w:tcW w:w="7371" w:type="dxa"/>
            <w:tcBorders>
              <w:top w:val="nil"/>
              <w:left w:val="nil"/>
              <w:bottom w:val="nil"/>
              <w:right w:val="nil"/>
            </w:tcBorders>
            <w:shd w:val="clear" w:color="000000" w:fill="F2F2F2"/>
            <w:noWrap/>
            <w:vAlign w:val="bottom"/>
            <w:hideMark/>
          </w:tcPr>
          <w:p w14:paraId="046251FE"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3" w:history="1">
              <w:r w:rsidR="00BF273A"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BF273A" w:rsidRPr="00232611" w14:paraId="1D00126A"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7BD8A3ED"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4115BEAC"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Survey</w:t>
            </w:r>
            <w:proofErr w:type="spellEnd"/>
            <w:r w:rsidRPr="00F11EE5">
              <w:rPr>
                <w:rFonts w:ascii="Garamond" w:eastAsia="Times New Roman" w:hAnsi="Garamond" w:cs="Times New Roman"/>
                <w:color w:val="000000"/>
                <w:kern w:val="0"/>
                <w:lang w:val="es-PE" w:eastAsia="es-PE"/>
                <w14:ligatures w14:val="none"/>
              </w:rPr>
              <w:t xml:space="preserve"> (WVS)</w:t>
            </w:r>
          </w:p>
        </w:tc>
        <w:tc>
          <w:tcPr>
            <w:tcW w:w="7371" w:type="dxa"/>
            <w:tcBorders>
              <w:top w:val="nil"/>
              <w:left w:val="nil"/>
              <w:bottom w:val="nil"/>
              <w:right w:val="nil"/>
            </w:tcBorders>
            <w:shd w:val="clear" w:color="auto" w:fill="auto"/>
            <w:noWrap/>
            <w:vAlign w:val="bottom"/>
            <w:hideMark/>
          </w:tcPr>
          <w:p w14:paraId="7A40A4D2"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4" w:history="1">
              <w:r w:rsidR="00BF273A"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BF273A" w:rsidRPr="00F11EE5" w14:paraId="03604A33"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26CF2561"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73D9CEE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European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Study</w:t>
            </w:r>
            <w:proofErr w:type="spellEnd"/>
            <w:r w:rsidRPr="00F11EE5">
              <w:rPr>
                <w:rFonts w:ascii="Garamond" w:eastAsia="Times New Roman" w:hAnsi="Garamond" w:cs="Times New Roman"/>
                <w:color w:val="000000"/>
                <w:kern w:val="0"/>
                <w:lang w:val="es-PE" w:eastAsia="es-PE"/>
                <w14:ligatures w14:val="none"/>
              </w:rPr>
              <w:t xml:space="preserve"> (EVS)</w:t>
            </w:r>
          </w:p>
        </w:tc>
        <w:tc>
          <w:tcPr>
            <w:tcW w:w="7371" w:type="dxa"/>
            <w:tcBorders>
              <w:top w:val="nil"/>
              <w:left w:val="nil"/>
              <w:bottom w:val="nil"/>
              <w:right w:val="nil"/>
            </w:tcBorders>
            <w:shd w:val="clear" w:color="000000" w:fill="F2F2F2"/>
            <w:noWrap/>
            <w:vAlign w:val="bottom"/>
            <w:hideMark/>
          </w:tcPr>
          <w:p w14:paraId="05E37DDD"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5" w:history="1">
              <w:r w:rsidR="00BF273A" w:rsidRPr="00F11EE5">
                <w:rPr>
                  <w:rFonts w:ascii="Garamond" w:eastAsia="Times New Roman" w:hAnsi="Garamond" w:cs="Times New Roman"/>
                  <w:color w:val="467886"/>
                  <w:kern w:val="0"/>
                  <w:u w:val="single"/>
                  <w:lang w:val="es-PE" w:eastAsia="es-PE"/>
                  <w14:ligatures w14:val="none"/>
                </w:rPr>
                <w:t>https://europeanvaluesstudy.eu/</w:t>
              </w:r>
            </w:hyperlink>
          </w:p>
        </w:tc>
      </w:tr>
      <w:tr w:rsidR="00BF273A" w:rsidRPr="00F11EE5" w14:paraId="70D60B0F"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200B41DF"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6AEADC74"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Justice</w:t>
            </w:r>
            <w:proofErr w:type="spellEnd"/>
            <w:r w:rsidRPr="00F11EE5">
              <w:rPr>
                <w:rFonts w:ascii="Garamond" w:eastAsia="Times New Roman" w:hAnsi="Garamond" w:cs="Times New Roman"/>
                <w:color w:val="000000"/>
                <w:kern w:val="0"/>
                <w:lang w:val="es-PE" w:eastAsia="es-PE"/>
                <w14:ligatures w14:val="none"/>
              </w:rPr>
              <w:t xml:space="preserve"> Project (WJP)</w:t>
            </w:r>
          </w:p>
        </w:tc>
        <w:tc>
          <w:tcPr>
            <w:tcW w:w="7371" w:type="dxa"/>
            <w:tcBorders>
              <w:top w:val="nil"/>
              <w:left w:val="nil"/>
              <w:bottom w:val="nil"/>
              <w:right w:val="nil"/>
            </w:tcBorders>
            <w:shd w:val="clear" w:color="auto" w:fill="auto"/>
            <w:noWrap/>
            <w:vAlign w:val="bottom"/>
            <w:hideMark/>
          </w:tcPr>
          <w:p w14:paraId="4F18432E"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6" w:history="1">
              <w:r w:rsidR="00BF273A" w:rsidRPr="00F11EE5">
                <w:rPr>
                  <w:rFonts w:ascii="Garamond" w:eastAsia="Times New Roman" w:hAnsi="Garamond" w:cs="Times New Roman"/>
                  <w:color w:val="467886"/>
                  <w:kern w:val="0"/>
                  <w:u w:val="single"/>
                  <w:lang w:val="es-PE" w:eastAsia="es-PE"/>
                  <w14:ligatures w14:val="none"/>
                </w:rPr>
                <w:t>https://worldjusticeproject.org/</w:t>
              </w:r>
            </w:hyperlink>
          </w:p>
        </w:tc>
      </w:tr>
      <w:tr w:rsidR="00BF273A" w:rsidRPr="00232611" w14:paraId="4E7EADEF"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E732600"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0285A90B"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Worldwide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Governance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(WGI)</w:t>
            </w:r>
          </w:p>
        </w:tc>
        <w:tc>
          <w:tcPr>
            <w:tcW w:w="7371" w:type="dxa"/>
            <w:tcBorders>
              <w:top w:val="nil"/>
              <w:left w:val="nil"/>
              <w:bottom w:val="nil"/>
              <w:right w:val="nil"/>
            </w:tcBorders>
            <w:shd w:val="clear" w:color="000000" w:fill="F2F2F2"/>
            <w:noWrap/>
            <w:vAlign w:val="bottom"/>
            <w:hideMark/>
          </w:tcPr>
          <w:p w14:paraId="5CB2B2B5"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7" w:history="1">
              <w:r w:rsidR="00BF273A"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BF273A" w:rsidRPr="00232611" w14:paraId="2FC80CC8"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6CE3950B"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1D9C46C"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Development</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(WDI)</w:t>
            </w:r>
          </w:p>
        </w:tc>
        <w:tc>
          <w:tcPr>
            <w:tcW w:w="7371" w:type="dxa"/>
            <w:tcBorders>
              <w:top w:val="nil"/>
              <w:left w:val="nil"/>
              <w:bottom w:val="nil"/>
              <w:right w:val="nil"/>
            </w:tcBorders>
            <w:shd w:val="clear" w:color="auto" w:fill="auto"/>
            <w:noWrap/>
            <w:vAlign w:val="bottom"/>
            <w:hideMark/>
          </w:tcPr>
          <w:p w14:paraId="4A516622"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8" w:history="1">
              <w:r w:rsidR="00BF273A"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BF273A" w:rsidRPr="00F11EE5" w14:paraId="2ADD83B2"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289F13BF"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79C55DFA"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3B326A0"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9" w:history="1">
              <w:r w:rsidR="00BF273A" w:rsidRPr="00F11EE5">
                <w:rPr>
                  <w:rFonts w:ascii="Garamond" w:eastAsia="Times New Roman" w:hAnsi="Garamond" w:cs="Times New Roman"/>
                  <w:color w:val="467886"/>
                  <w:kern w:val="0"/>
                  <w:u w:val="single"/>
                  <w:lang w:val="es-PE" w:eastAsia="es-PE"/>
                  <w14:ligatures w14:val="none"/>
                </w:rPr>
                <w:t>https://acleddata.com/</w:t>
              </w:r>
            </w:hyperlink>
          </w:p>
        </w:tc>
      </w:tr>
      <w:tr w:rsidR="00BF273A" w:rsidRPr="00F11EE5" w14:paraId="37FC0947"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0F1206A7"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4195F6FB"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3130CB82"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0" w:history="1">
              <w:r w:rsidR="00BF273A"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BF273A" w:rsidRPr="00F11EE5" w14:paraId="295A6271"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AFCB478"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2BA44AF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58DCCABC"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61" w:history="1">
              <w:r w:rsidR="00BF273A" w:rsidRPr="00F11EE5">
                <w:rPr>
                  <w:rFonts w:ascii="Garamond" w:eastAsia="Times New Roman" w:hAnsi="Garamond" w:cs="Times New Roman"/>
                  <w:color w:val="467886"/>
                  <w:kern w:val="0"/>
                  <w:u w:val="single"/>
                  <w:lang w:val="es-PE" w:eastAsia="es-PE"/>
                  <w14:ligatures w14:val="none"/>
                </w:rPr>
                <w:t>https://monitor.civicus.org/</w:t>
              </w:r>
            </w:hyperlink>
          </w:p>
        </w:tc>
      </w:tr>
      <w:tr w:rsidR="00BF273A" w:rsidRPr="00F11EE5" w14:paraId="2929783B"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0B7F6238"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30E7B7AA"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 xml:space="preserve">United Nations Development </w:t>
            </w:r>
            <w:proofErr w:type="spellStart"/>
            <w:r w:rsidRPr="00F11EE5">
              <w:rPr>
                <w:rFonts w:ascii="Garamond" w:eastAsia="Times New Roman" w:hAnsi="Garamond" w:cs="Times New Roman"/>
                <w:color w:val="000000"/>
                <w:kern w:val="0"/>
                <w:lang w:eastAsia="es-PE"/>
                <w14:ligatures w14:val="none"/>
              </w:rPr>
              <w:t>Programme</w:t>
            </w:r>
            <w:proofErr w:type="spellEnd"/>
            <w:r w:rsidRPr="00F11EE5">
              <w:rPr>
                <w:rFonts w:ascii="Garamond" w:eastAsia="Times New Roman" w:hAnsi="Garamond" w:cs="Times New Roman"/>
                <w:color w:val="000000"/>
                <w:kern w:val="0"/>
                <w:lang w:eastAsia="es-PE"/>
                <w14:ligatures w14:val="none"/>
              </w:rPr>
              <w:t xml:space="preserve"> (UNDP)</w:t>
            </w:r>
          </w:p>
        </w:tc>
        <w:tc>
          <w:tcPr>
            <w:tcW w:w="7371" w:type="dxa"/>
            <w:tcBorders>
              <w:top w:val="nil"/>
              <w:left w:val="nil"/>
              <w:bottom w:val="nil"/>
              <w:right w:val="nil"/>
            </w:tcBorders>
            <w:shd w:val="clear" w:color="auto" w:fill="auto"/>
            <w:noWrap/>
            <w:vAlign w:val="bottom"/>
            <w:hideMark/>
          </w:tcPr>
          <w:p w14:paraId="447DCCE0"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2" w:anchor="/indicies/HDI" w:history="1">
              <w:r w:rsidR="00BF273A"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BF273A" w:rsidRPr="00F11EE5" w14:paraId="6D5A91CC"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36F63485"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1E4997ED"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08562F20"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3" w:history="1">
              <w:r w:rsidR="00BF273A" w:rsidRPr="00F11EE5">
                <w:rPr>
                  <w:rFonts w:ascii="Garamond" w:eastAsia="Times New Roman" w:hAnsi="Garamond" w:cs="Times New Roman"/>
                  <w:color w:val="467886"/>
                  <w:kern w:val="0"/>
                  <w:u w:val="single"/>
                  <w:lang w:eastAsia="es-PE"/>
                  <w14:ligatures w14:val="none"/>
                </w:rPr>
                <w:t>https://wbl.worldbank.org/en/wbl</w:t>
              </w:r>
            </w:hyperlink>
          </w:p>
        </w:tc>
      </w:tr>
      <w:tr w:rsidR="00BF273A" w:rsidRPr="00232611" w14:paraId="5A57823A"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469841A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5A1ACDE0"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Economist </w:t>
            </w:r>
            <w:proofErr w:type="spellStart"/>
            <w:r w:rsidRPr="00F11EE5">
              <w:rPr>
                <w:rFonts w:ascii="Garamond" w:eastAsia="Times New Roman" w:hAnsi="Garamond" w:cs="Times New Roman"/>
                <w:color w:val="000000"/>
                <w:kern w:val="0"/>
                <w:lang w:val="es-PE" w:eastAsia="es-PE"/>
                <w14:ligatures w14:val="none"/>
              </w:rPr>
              <w:t>Intelligence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Unit</w:t>
            </w:r>
            <w:proofErr w:type="spellEnd"/>
            <w:r w:rsidRPr="00F11EE5">
              <w:rPr>
                <w:rFonts w:ascii="Garamond" w:eastAsia="Times New Roman" w:hAnsi="Garamond" w:cs="Times New Roman"/>
                <w:color w:val="000000"/>
                <w:kern w:val="0"/>
                <w:lang w:val="es-PE" w:eastAsia="es-PE"/>
                <w14:ligatures w14:val="none"/>
              </w:rPr>
              <w:t xml:space="preserve"> (EIU)</w:t>
            </w:r>
          </w:p>
        </w:tc>
        <w:tc>
          <w:tcPr>
            <w:tcW w:w="7371" w:type="dxa"/>
            <w:tcBorders>
              <w:top w:val="nil"/>
              <w:left w:val="nil"/>
              <w:bottom w:val="nil"/>
              <w:right w:val="nil"/>
            </w:tcBorders>
            <w:shd w:val="clear" w:color="auto" w:fill="auto"/>
            <w:noWrap/>
            <w:vAlign w:val="bottom"/>
            <w:hideMark/>
          </w:tcPr>
          <w:p w14:paraId="5158E50A"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64" w:history="1">
              <w:r w:rsidR="00BF273A"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BF273A" w:rsidRPr="00F11EE5" w14:paraId="25067FE5"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6A2BE3DA"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30D11AE8"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610201A8"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5" w:history="1">
              <w:r w:rsidR="00BF273A" w:rsidRPr="00F11EE5">
                <w:rPr>
                  <w:rFonts w:ascii="Garamond" w:eastAsia="Times New Roman" w:hAnsi="Garamond" w:cs="Times New Roman"/>
                  <w:color w:val="467886"/>
                  <w:kern w:val="0"/>
                  <w:u w:val="single"/>
                  <w:lang w:eastAsia="es-PE"/>
                  <w14:ligatures w14:val="none"/>
                </w:rPr>
                <w:t>https://esgdata.worldbank.org/?lang=en</w:t>
              </w:r>
            </w:hyperlink>
          </w:p>
        </w:tc>
      </w:tr>
      <w:tr w:rsidR="00BF273A" w:rsidRPr="00F11EE5" w14:paraId="6F1534C2" w14:textId="77777777" w:rsidTr="00240051">
        <w:trPr>
          <w:trHeight w:val="300"/>
          <w:jc w:val="center"/>
        </w:trPr>
        <w:tc>
          <w:tcPr>
            <w:tcW w:w="347" w:type="dxa"/>
            <w:tcBorders>
              <w:top w:val="nil"/>
              <w:left w:val="nil"/>
              <w:bottom w:val="single" w:sz="4" w:space="0" w:color="auto"/>
              <w:right w:val="nil"/>
            </w:tcBorders>
            <w:shd w:val="clear" w:color="auto" w:fill="auto"/>
            <w:noWrap/>
            <w:vAlign w:val="bottom"/>
            <w:hideMark/>
          </w:tcPr>
          <w:p w14:paraId="0565435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18D44D13"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239D92CB"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6" w:history="1">
              <w:r w:rsidR="00BF273A"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641CB852" w14:textId="4FEB5FA5" w:rsidR="00BF273A" w:rsidRPr="00BF273A" w:rsidRDefault="00BF273A" w:rsidP="00BF273A">
      <w:pPr>
        <w:pStyle w:val="ListParagraph"/>
        <w:numPr>
          <w:ilvl w:val="0"/>
          <w:numId w:val="3"/>
        </w:numPr>
        <w:spacing w:line="360" w:lineRule="auto"/>
        <w:jc w:val="center"/>
        <w:rPr>
          <w:rFonts w:ascii="Garamond" w:hAnsi="Garamond" w:cs="Times New Roman"/>
        </w:rPr>
        <w:sectPr w:rsidR="00BF273A" w:rsidRPr="00BF273A" w:rsidSect="00352A96">
          <w:pgSz w:w="16838" w:h="11906" w:orient="landscape"/>
          <w:pgMar w:top="1701" w:right="1418" w:bottom="1701" w:left="1418" w:header="709" w:footer="709" w:gutter="0"/>
          <w:cols w:space="708"/>
          <w:docGrid w:linePitch="360"/>
        </w:sectPr>
      </w:pPr>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lastRenderedPageBreak/>
        <w:t>Supplementary material for the SSGD v2.0</w:t>
      </w:r>
    </w:p>
    <w:p w14:paraId="4D9AD590" w14:textId="506D6996"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1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26D0CDB6" w:rsidR="00A67429" w:rsidRDefault="00000000" w:rsidP="00A67429">
      <w:pPr>
        <w:spacing w:line="360" w:lineRule="auto"/>
        <w:jc w:val="both"/>
        <w:rPr>
          <w:rFonts w:ascii="Garamond" w:hAnsi="Garamond" w:cs="Times New Roman"/>
        </w:rPr>
      </w:pPr>
      <w:hyperlink r:id="rId67" w:history="1">
        <w:r w:rsidR="00A67429" w:rsidRPr="00A67429">
          <w:rPr>
            <w:rStyle w:val="Hyperlink"/>
            <w:rFonts w:ascii="Garamond" w:hAnsi="Garamond" w:cs="Times New Roman"/>
          </w:rPr>
          <w:t>Link to extended version of Table 1</w:t>
        </w:r>
      </w:hyperlink>
    </w:p>
    <w:p w14:paraId="6093CECA" w14:textId="66480E8E" w:rsidR="00A67429" w:rsidRPr="00A8096C" w:rsidRDefault="00000000" w:rsidP="00A67429">
      <w:pPr>
        <w:spacing w:line="360" w:lineRule="auto"/>
        <w:jc w:val="both"/>
        <w:rPr>
          <w:rFonts w:ascii="Garamond" w:hAnsi="Garamond" w:cs="Times New Roman"/>
        </w:rPr>
      </w:pPr>
      <w:hyperlink r:id="rId68"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 xml:space="preserve">Instructions to manually download selected </w:t>
      </w:r>
      <w:proofErr w:type="gramStart"/>
      <w:r>
        <w:rPr>
          <w:rFonts w:ascii="Garamond" w:hAnsi="Garamond" w:cs="Times New Roman"/>
          <w:b/>
          <w:bCs/>
        </w:rPr>
        <w:t>databases</w:t>
      </w:r>
      <w:proofErr w:type="gramEnd"/>
    </w:p>
    <w:p w14:paraId="1F721CE4" w14:textId="722E9622"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t>
      </w:r>
      <w:proofErr w:type="spellStart"/>
      <w:r>
        <w:rPr>
          <w:rFonts w:ascii="Garamond" w:hAnsi="Garamond" w:cs="Times New Roman"/>
        </w:rPr>
        <w:t>webscrapping</w:t>
      </w:r>
      <w:proofErr w:type="spellEnd"/>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proofErr w:type="spellStart"/>
      <w:r w:rsidRPr="00E2379C">
        <w:rPr>
          <w:rFonts w:ascii="Garamond" w:hAnsi="Garamond" w:cs="Times New Roman"/>
          <w:u w:val="single"/>
        </w:rPr>
        <w:t>Asianbarometer</w:t>
      </w:r>
      <w:proofErr w:type="spellEnd"/>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69"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w:t>
      </w:r>
      <w:proofErr w:type="gramStart"/>
      <w:r w:rsidRPr="00E2379C">
        <w:rPr>
          <w:rFonts w:ascii="Garamond" w:hAnsi="Garamond" w:cs="Times New Roman"/>
        </w:rPr>
        <w:t>of  ASB</w:t>
      </w:r>
      <w:proofErr w:type="gramEnd"/>
      <w:r w:rsidRPr="00E2379C">
        <w:rPr>
          <w:rFonts w:ascii="Garamond" w:hAnsi="Garamond" w:cs="Times New Roman"/>
        </w:rPr>
        <w:t xml:space="preserve">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w:t>
      </w:r>
      <w:proofErr w:type="spellStart"/>
      <w:r w:rsidRPr="00E2379C">
        <w:rPr>
          <w:rFonts w:ascii="Garamond" w:hAnsi="Garamond" w:cs="Times New Roman"/>
        </w:rPr>
        <w:t>raw_data</w:t>
      </w:r>
      <w:proofErr w:type="spellEnd"/>
      <w:r w:rsidRPr="00E2379C">
        <w:rPr>
          <w:rFonts w:ascii="Garamond" w:hAnsi="Garamond" w:cs="Times New Roman"/>
        </w:rPr>
        <w:t>"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proofErr w:type="spellStart"/>
      <w:r w:rsidRPr="00E2379C">
        <w:rPr>
          <w:rFonts w:ascii="Garamond" w:hAnsi="Garamond" w:cs="Times New Roman"/>
          <w:u w:val="single"/>
        </w:rPr>
        <w:t>Latinobarometro</w:t>
      </w:r>
      <w:proofErr w:type="spellEnd"/>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0"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w:t>
      </w:r>
      <w:proofErr w:type="spellStart"/>
      <w:r w:rsidRPr="00E2379C">
        <w:rPr>
          <w:rFonts w:ascii="Garamond" w:hAnsi="Garamond" w:cs="Times New Roman"/>
        </w:rPr>
        <w:t>raw_data</w:t>
      </w:r>
      <w:proofErr w:type="spellEnd"/>
      <w:r w:rsidRPr="00E2379C">
        <w:rPr>
          <w:rFonts w:ascii="Garamond" w:hAnsi="Garamond" w:cs="Times New Roman"/>
        </w:rPr>
        <w:t>"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1"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2"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w:t>
      </w:r>
      <w:proofErr w:type="spellStart"/>
      <w:r w:rsidRPr="00E2379C">
        <w:rPr>
          <w:rFonts w:ascii="Garamond" w:hAnsi="Garamond" w:cs="Times New Roman"/>
        </w:rPr>
        <w:t>acled</w:t>
      </w:r>
      <w:proofErr w:type="spellEnd"/>
      <w:r w:rsidRPr="00E2379C">
        <w:rPr>
          <w:rFonts w:ascii="Garamond" w:hAnsi="Garamond" w:cs="Times New Roman"/>
        </w:rPr>
        <w:t>" folder inside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3"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w:t>
      </w:r>
      <w:proofErr w:type="spellStart"/>
      <w:r w:rsidRPr="00E2379C">
        <w:rPr>
          <w:rFonts w:ascii="Garamond" w:hAnsi="Garamond" w:cs="Times New Roman"/>
        </w:rPr>
        <w:t>TimeSeries</w:t>
      </w:r>
      <w:proofErr w:type="spellEnd"/>
      <w:r w:rsidRPr="00E2379C">
        <w:rPr>
          <w:rFonts w:ascii="Garamond" w:hAnsi="Garamond" w:cs="Times New Roman"/>
        </w:rPr>
        <w:t xml:space="preserve"> 1981 2022 Stata v4 0.zip", in the "Longitudinal Data Files" section at the end of the web portal. After that, the user must uncompress and copy the data files to the "wvs6_7" folder within the "</w:t>
      </w:r>
      <w:proofErr w:type="spellStart"/>
      <w:r w:rsidRPr="00E2379C">
        <w:rPr>
          <w:rFonts w:ascii="Garamond" w:hAnsi="Garamond" w:cs="Times New Roman"/>
        </w:rPr>
        <w:t>raw_data</w:t>
      </w:r>
      <w:proofErr w:type="spellEnd"/>
      <w:r w:rsidRPr="00E2379C">
        <w:rPr>
          <w:rFonts w:ascii="Garamond" w:hAnsi="Garamond" w:cs="Times New Roman"/>
        </w:rPr>
        <w:t xml:space="preserve">"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4"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75"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w:t>
      </w:r>
      <w:proofErr w:type="spellStart"/>
      <w:r w:rsidR="002D6F74">
        <w:rPr>
          <w:rFonts w:ascii="Garamond" w:hAnsi="Garamond" w:cs="Times New Roman"/>
        </w:rPr>
        <w:t>dta</w:t>
      </w:r>
      <w:proofErr w:type="spellEnd"/>
      <w:r w:rsidR="002D6F74">
        <w:rPr>
          <w:rFonts w:ascii="Garamond" w:hAnsi="Garamond" w:cs="Times New Roman"/>
        </w:rPr>
        <w:t xml:space="preserve"> file with the microdata. After uncompressing the data file, the user must copy the data file to the “</w:t>
      </w:r>
      <w:proofErr w:type="spellStart"/>
      <w:r w:rsidR="002D6F74">
        <w:rPr>
          <w:rFonts w:ascii="Garamond" w:hAnsi="Garamond" w:cs="Times New Roman"/>
        </w:rPr>
        <w:t>evs</w:t>
      </w:r>
      <w:proofErr w:type="spellEnd"/>
      <w:r w:rsidR="002D6F74">
        <w:rPr>
          <w:rFonts w:ascii="Garamond" w:hAnsi="Garamond" w:cs="Times New Roman"/>
        </w:rPr>
        <w:t>” folder within the “</w:t>
      </w:r>
      <w:proofErr w:type="spellStart"/>
      <w:r w:rsidR="002D6F74">
        <w:rPr>
          <w:rFonts w:ascii="Garamond" w:hAnsi="Garamond" w:cs="Times New Roman"/>
        </w:rPr>
        <w:t>raw_data</w:t>
      </w:r>
      <w:proofErr w:type="spellEnd"/>
      <w:r w:rsidR="002D6F74">
        <w:rPr>
          <w:rFonts w:ascii="Garamond" w:hAnsi="Garamond" w:cs="Times New Roman"/>
        </w:rPr>
        <w:t>” folder.</w:t>
      </w:r>
    </w:p>
    <w:p w14:paraId="3795FA9D" w14:textId="18463D2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BF273A">
        <w:rPr>
          <w:rFonts w:ascii="Garamond" w:hAnsi="Garamond" w:cs="Times New Roman"/>
        </w:rPr>
        <w:t>C</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w:t>
      </w:r>
      <w:proofErr w:type="gramStart"/>
      <w:r w:rsidRPr="00E2379C">
        <w:rPr>
          <w:rFonts w:ascii="Garamond" w:hAnsi="Garamond" w:cs="Times New Roman"/>
        </w:rPr>
        <w:t>the  "</w:t>
      </w:r>
      <w:proofErr w:type="spellStart"/>
      <w:proofErr w:type="gramEnd"/>
      <w:r w:rsidRPr="00E2379C">
        <w:rPr>
          <w:rFonts w:ascii="Garamond" w:hAnsi="Garamond" w:cs="Times New Roman"/>
        </w:rPr>
        <w:t>raw_data</w:t>
      </w:r>
      <w:proofErr w:type="spellEnd"/>
      <w:r w:rsidRPr="00E2379C">
        <w:rPr>
          <w:rFonts w:ascii="Garamond" w:hAnsi="Garamond" w:cs="Times New Roman"/>
        </w:rPr>
        <w:t xml:space="preserve">"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7E53F1">
        <w:rPr>
          <w:rFonts w:ascii="Garamond" w:hAnsi="Garamond" w:cs="Times New Roman"/>
        </w:rPr>
        <w:t>4</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BF273A">
        <w:rPr>
          <w:rFonts w:ascii="Garamond" w:hAnsi="Garamond" w:cs="Times New Roman"/>
        </w:rPr>
        <w:t>C</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352A96">
          <w:pgSz w:w="11906" w:h="16838"/>
          <w:pgMar w:top="1417" w:right="1701" w:bottom="1417" w:left="1701" w:header="708" w:footer="708" w:gutter="0"/>
          <w:cols w:space="708"/>
          <w:docGrid w:linePitch="360"/>
        </w:sectPr>
      </w:pPr>
    </w:p>
    <w:p w14:paraId="3FC24686" w14:textId="20C0F7F3"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372165" w:rsidRPr="00BF273A">
        <w:rPr>
          <w:rFonts w:ascii="Garamond" w:hAnsi="Garamond" w:cs="Times New Roman"/>
          <w:b/>
          <w:bCs/>
        </w:rPr>
        <w:t>C</w:t>
      </w:r>
      <w:r w:rsidRPr="00BF273A">
        <w:rPr>
          <w:rFonts w:ascii="Garamond" w:hAnsi="Garamond" w:cs="Times New Roman"/>
          <w:b/>
          <w:bCs/>
        </w:rPr>
        <w:t>.1</w:t>
      </w:r>
      <w:r>
        <w:rPr>
          <w:rFonts w:ascii="Garamond" w:hAnsi="Garamond" w:cs="Times New Roman"/>
        </w:rPr>
        <w:t xml:space="preserve">: List of data files to be manually downloaded and </w:t>
      </w:r>
      <w:proofErr w:type="gramStart"/>
      <w:r>
        <w:rPr>
          <w:rFonts w:ascii="Garamond" w:hAnsi="Garamond" w:cs="Times New Roman"/>
        </w:rPr>
        <w:t>copied</w:t>
      </w:r>
      <w:proofErr w:type="gramEnd"/>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6"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7"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8"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eastAsia="es-PE"/>
                <w14:ligatures w14:val="none"/>
              </w:rPr>
              <w:t>acled</w:t>
            </w:r>
            <w:proofErr w:type="spellEnd"/>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9"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0"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val="es-PE" w:eastAsia="es-PE"/>
                <w14:ligatures w14:val="none"/>
              </w:rPr>
              <w:t>evs</w:t>
            </w:r>
            <w:proofErr w:type="spellEnd"/>
          </w:p>
        </w:tc>
      </w:tr>
    </w:tbl>
    <w:p w14:paraId="7F9B8B1E" w14:textId="77777777" w:rsidR="00726980" w:rsidRPr="00E2379C" w:rsidRDefault="00726980" w:rsidP="00BF1958">
      <w:pPr>
        <w:rPr>
          <w:rFonts w:ascii="Garamond" w:hAnsi="Garamond" w:cs="Times New Roman"/>
        </w:rPr>
        <w:sectPr w:rsidR="00726980" w:rsidRPr="00E2379C" w:rsidSect="00352A96">
          <w:pgSz w:w="16838" w:h="11906" w:orient="landscape"/>
          <w:pgMar w:top="1701" w:right="1418" w:bottom="1701" w:left="1418" w:header="709" w:footer="709" w:gutter="0"/>
          <w:cols w:space="708"/>
          <w:docGrid w:linePitch="360"/>
        </w:sectPr>
      </w:pPr>
    </w:p>
    <w:p w14:paraId="0D34F3C4" w14:textId="3F11FFEE"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372165" w:rsidRPr="00BF273A">
        <w:rPr>
          <w:rFonts w:ascii="Garamond" w:hAnsi="Garamond" w:cs="Times New Roman"/>
          <w:b/>
          <w:bCs/>
        </w:rPr>
        <w:t>C</w:t>
      </w:r>
      <w:r w:rsidR="007E53F1" w:rsidRPr="00BF273A">
        <w:rPr>
          <w:rFonts w:ascii="Garamond" w:hAnsi="Garamond" w:cs="Times New Roman"/>
          <w:b/>
          <w:bCs/>
        </w:rPr>
        <w:t>.2</w:t>
      </w:r>
      <w:r w:rsidR="007E53F1">
        <w:rPr>
          <w:rFonts w:ascii="Garamond" w:hAnsi="Garamond" w:cs="Times New Roman"/>
        </w:rPr>
        <w:t xml:space="preserve">: List of databases included by </w:t>
      </w:r>
      <w:proofErr w:type="gramStart"/>
      <w:r w:rsidR="007E53F1">
        <w:rPr>
          <w:rFonts w:ascii="Garamond" w:hAnsi="Garamond" w:cs="Times New Roman"/>
        </w:rPr>
        <w:t>default</w:t>
      </w:r>
      <w:proofErr w:type="gramEnd"/>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1"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2"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3"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proofErr w:type="spellStart"/>
      <w:r w:rsidRPr="00E2379C">
        <w:rPr>
          <w:rFonts w:ascii="Garamond" w:hAnsi="Garamond" w:cs="Times New Roman"/>
          <w:sz w:val="19"/>
          <w:szCs w:val="19"/>
          <w:vertAlign w:val="superscript"/>
        </w:rPr>
        <w:t>a</w:t>
      </w:r>
      <w:r w:rsidRPr="00E2379C">
        <w:rPr>
          <w:rFonts w:ascii="Garamond" w:hAnsi="Garamond" w:cs="Times New Roman"/>
          <w:sz w:val="19"/>
          <w:szCs w:val="19"/>
        </w:rPr>
        <w:t>In</w:t>
      </w:r>
      <w:proofErr w:type="spellEnd"/>
      <w:r w:rsidRPr="00E2379C">
        <w:rPr>
          <w:rFonts w:ascii="Garamond" w:hAnsi="Garamond" w:cs="Times New Roman"/>
          <w:sz w:val="19"/>
          <w:szCs w:val="19"/>
        </w:rPr>
        <w:t xml:space="preserve">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3F7FF630"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A18CF" w14:textId="77777777" w:rsidR="00352A96" w:rsidRPr="003203D6" w:rsidRDefault="00352A96" w:rsidP="00055BB4">
      <w:pPr>
        <w:spacing w:after="0" w:line="240" w:lineRule="auto"/>
      </w:pPr>
      <w:r w:rsidRPr="003203D6">
        <w:separator/>
      </w:r>
    </w:p>
  </w:endnote>
  <w:endnote w:type="continuationSeparator" w:id="0">
    <w:p w14:paraId="56F32649" w14:textId="77777777" w:rsidR="00352A96" w:rsidRPr="003203D6" w:rsidRDefault="00352A96"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C124" w14:textId="77777777" w:rsidR="00352A96" w:rsidRPr="003203D6" w:rsidRDefault="00352A96" w:rsidP="00055BB4">
      <w:pPr>
        <w:spacing w:after="0" w:line="240" w:lineRule="auto"/>
      </w:pPr>
      <w:r w:rsidRPr="003203D6">
        <w:separator/>
      </w:r>
    </w:p>
  </w:footnote>
  <w:footnote w:type="continuationSeparator" w:id="0">
    <w:p w14:paraId="4CC19EE1" w14:textId="77777777" w:rsidR="00352A96" w:rsidRPr="003203D6" w:rsidRDefault="00352A96" w:rsidP="00055BB4">
      <w:pPr>
        <w:spacing w:after="0" w:line="240" w:lineRule="auto"/>
      </w:pPr>
      <w:r w:rsidRPr="003203D6">
        <w:continuationSeparator/>
      </w:r>
    </w:p>
  </w:footnote>
  <w:footnote w:id="1">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2">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1.95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mOzWgCojomLLQAAAA=="/>
  </w:docVars>
  <w:rsids>
    <w:rsidRoot w:val="001A5684"/>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A5AB6"/>
    <w:rsid w:val="000B15F6"/>
    <w:rsid w:val="000C71A8"/>
    <w:rsid w:val="000D1AF5"/>
    <w:rsid w:val="000D31FB"/>
    <w:rsid w:val="000D42E1"/>
    <w:rsid w:val="000E51B6"/>
    <w:rsid w:val="00102AA5"/>
    <w:rsid w:val="001040C6"/>
    <w:rsid w:val="00106D25"/>
    <w:rsid w:val="00107B5B"/>
    <w:rsid w:val="00111C9A"/>
    <w:rsid w:val="00112B6E"/>
    <w:rsid w:val="00117D2A"/>
    <w:rsid w:val="00125CF1"/>
    <w:rsid w:val="0013537C"/>
    <w:rsid w:val="00150D34"/>
    <w:rsid w:val="0015173D"/>
    <w:rsid w:val="00161DB4"/>
    <w:rsid w:val="00171739"/>
    <w:rsid w:val="00186F16"/>
    <w:rsid w:val="001910E8"/>
    <w:rsid w:val="001A41B6"/>
    <w:rsid w:val="001A5684"/>
    <w:rsid w:val="001C27D7"/>
    <w:rsid w:val="001C7DD4"/>
    <w:rsid w:val="001D0D4F"/>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D4516"/>
    <w:rsid w:val="002D6F74"/>
    <w:rsid w:val="002E4E66"/>
    <w:rsid w:val="002F2378"/>
    <w:rsid w:val="002F2F66"/>
    <w:rsid w:val="00304B42"/>
    <w:rsid w:val="00316FE7"/>
    <w:rsid w:val="003203D6"/>
    <w:rsid w:val="00323196"/>
    <w:rsid w:val="00324838"/>
    <w:rsid w:val="00331DF0"/>
    <w:rsid w:val="003416DC"/>
    <w:rsid w:val="00351FCA"/>
    <w:rsid w:val="00352A96"/>
    <w:rsid w:val="0036792C"/>
    <w:rsid w:val="00372165"/>
    <w:rsid w:val="00375BD2"/>
    <w:rsid w:val="003857B3"/>
    <w:rsid w:val="003A6D33"/>
    <w:rsid w:val="003C74DC"/>
    <w:rsid w:val="003D2CDE"/>
    <w:rsid w:val="003D79F8"/>
    <w:rsid w:val="003E23FE"/>
    <w:rsid w:val="003F5E48"/>
    <w:rsid w:val="004013A6"/>
    <w:rsid w:val="00404FE4"/>
    <w:rsid w:val="0040731E"/>
    <w:rsid w:val="00416B32"/>
    <w:rsid w:val="00430215"/>
    <w:rsid w:val="0043068A"/>
    <w:rsid w:val="00435BDC"/>
    <w:rsid w:val="00443209"/>
    <w:rsid w:val="00446AE4"/>
    <w:rsid w:val="0045357C"/>
    <w:rsid w:val="00453DC9"/>
    <w:rsid w:val="00455725"/>
    <w:rsid w:val="00470B60"/>
    <w:rsid w:val="00474EBC"/>
    <w:rsid w:val="004764D8"/>
    <w:rsid w:val="00477CC0"/>
    <w:rsid w:val="00477D26"/>
    <w:rsid w:val="004844C2"/>
    <w:rsid w:val="00486B1E"/>
    <w:rsid w:val="00487F3E"/>
    <w:rsid w:val="004A06C6"/>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D1DFB"/>
    <w:rsid w:val="005D22D3"/>
    <w:rsid w:val="005D33F2"/>
    <w:rsid w:val="005D5ABC"/>
    <w:rsid w:val="005E77D7"/>
    <w:rsid w:val="00603180"/>
    <w:rsid w:val="00613C3A"/>
    <w:rsid w:val="00614E3B"/>
    <w:rsid w:val="00616D4D"/>
    <w:rsid w:val="00625B2D"/>
    <w:rsid w:val="00631F35"/>
    <w:rsid w:val="00651123"/>
    <w:rsid w:val="00651367"/>
    <w:rsid w:val="00651B9B"/>
    <w:rsid w:val="006617E1"/>
    <w:rsid w:val="00675C04"/>
    <w:rsid w:val="0068445B"/>
    <w:rsid w:val="00696C17"/>
    <w:rsid w:val="006B257A"/>
    <w:rsid w:val="006B3848"/>
    <w:rsid w:val="006C5780"/>
    <w:rsid w:val="006E2270"/>
    <w:rsid w:val="006F43C2"/>
    <w:rsid w:val="00712C8F"/>
    <w:rsid w:val="0071376F"/>
    <w:rsid w:val="007160E5"/>
    <w:rsid w:val="00726980"/>
    <w:rsid w:val="00742B30"/>
    <w:rsid w:val="00750E65"/>
    <w:rsid w:val="0077457D"/>
    <w:rsid w:val="00791550"/>
    <w:rsid w:val="00792B07"/>
    <w:rsid w:val="007950E0"/>
    <w:rsid w:val="007A2011"/>
    <w:rsid w:val="007B5202"/>
    <w:rsid w:val="007C6DBD"/>
    <w:rsid w:val="007D010E"/>
    <w:rsid w:val="007D3F07"/>
    <w:rsid w:val="007E1875"/>
    <w:rsid w:val="007E53F1"/>
    <w:rsid w:val="007F0450"/>
    <w:rsid w:val="00800374"/>
    <w:rsid w:val="008058F5"/>
    <w:rsid w:val="00817581"/>
    <w:rsid w:val="00820E17"/>
    <w:rsid w:val="00821A3B"/>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3570"/>
    <w:rsid w:val="009F51E7"/>
    <w:rsid w:val="00A02572"/>
    <w:rsid w:val="00A24E1E"/>
    <w:rsid w:val="00A26F94"/>
    <w:rsid w:val="00A3771C"/>
    <w:rsid w:val="00A436C2"/>
    <w:rsid w:val="00A460D8"/>
    <w:rsid w:val="00A460E5"/>
    <w:rsid w:val="00A66DCA"/>
    <w:rsid w:val="00A67429"/>
    <w:rsid w:val="00A8096C"/>
    <w:rsid w:val="00A831B1"/>
    <w:rsid w:val="00A85E18"/>
    <w:rsid w:val="00A9383F"/>
    <w:rsid w:val="00AA0622"/>
    <w:rsid w:val="00AA7B0D"/>
    <w:rsid w:val="00AB23F8"/>
    <w:rsid w:val="00AB6DCE"/>
    <w:rsid w:val="00AD6DEA"/>
    <w:rsid w:val="00AE5EAC"/>
    <w:rsid w:val="00AF6DED"/>
    <w:rsid w:val="00B04F83"/>
    <w:rsid w:val="00B06F88"/>
    <w:rsid w:val="00B114BD"/>
    <w:rsid w:val="00B13CEB"/>
    <w:rsid w:val="00B16D97"/>
    <w:rsid w:val="00B1790F"/>
    <w:rsid w:val="00B2586C"/>
    <w:rsid w:val="00B26766"/>
    <w:rsid w:val="00B409FC"/>
    <w:rsid w:val="00B45309"/>
    <w:rsid w:val="00B51579"/>
    <w:rsid w:val="00B56791"/>
    <w:rsid w:val="00B65BE4"/>
    <w:rsid w:val="00B74DEF"/>
    <w:rsid w:val="00B77C5E"/>
    <w:rsid w:val="00B809D6"/>
    <w:rsid w:val="00B81B48"/>
    <w:rsid w:val="00BB117B"/>
    <w:rsid w:val="00BB4BEE"/>
    <w:rsid w:val="00BB580A"/>
    <w:rsid w:val="00BC1880"/>
    <w:rsid w:val="00BC2AD9"/>
    <w:rsid w:val="00BD1794"/>
    <w:rsid w:val="00BE1B60"/>
    <w:rsid w:val="00BE3AA2"/>
    <w:rsid w:val="00BF1958"/>
    <w:rsid w:val="00BF273A"/>
    <w:rsid w:val="00BF4B3E"/>
    <w:rsid w:val="00C02ED5"/>
    <w:rsid w:val="00C039C6"/>
    <w:rsid w:val="00C16A1D"/>
    <w:rsid w:val="00C1741A"/>
    <w:rsid w:val="00C23896"/>
    <w:rsid w:val="00C30EF9"/>
    <w:rsid w:val="00C42D7D"/>
    <w:rsid w:val="00C47207"/>
    <w:rsid w:val="00C4764E"/>
    <w:rsid w:val="00C47710"/>
    <w:rsid w:val="00C55605"/>
    <w:rsid w:val="00C6146A"/>
    <w:rsid w:val="00C6436B"/>
    <w:rsid w:val="00C65E87"/>
    <w:rsid w:val="00C7146A"/>
    <w:rsid w:val="00C84179"/>
    <w:rsid w:val="00C8599D"/>
    <w:rsid w:val="00C86161"/>
    <w:rsid w:val="00C900A6"/>
    <w:rsid w:val="00CA4608"/>
    <w:rsid w:val="00CA4F25"/>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43BF"/>
    <w:rsid w:val="00D64E95"/>
    <w:rsid w:val="00D67C50"/>
    <w:rsid w:val="00D710A1"/>
    <w:rsid w:val="00D71550"/>
    <w:rsid w:val="00D77AF0"/>
    <w:rsid w:val="00D85DBC"/>
    <w:rsid w:val="00D9095F"/>
    <w:rsid w:val="00DB38EC"/>
    <w:rsid w:val="00DC748D"/>
    <w:rsid w:val="00DD3BDC"/>
    <w:rsid w:val="00DD3D28"/>
    <w:rsid w:val="00DD6443"/>
    <w:rsid w:val="00DE4AEA"/>
    <w:rsid w:val="00DE6B17"/>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565F"/>
    <w:rsid w:val="00FB6A91"/>
    <w:rsid w:val="00FD2500"/>
    <w:rsid w:val="00FD6E2C"/>
    <w:rsid w:val="00FF1193"/>
    <w:rsid w:val="00FF4997"/>
    <w:rsid w:val="00FF49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diagramData" Target="diagrams/data1.xml"/><Relationship Id="rId47" Type="http://schemas.openxmlformats.org/officeDocument/2006/relationships/hyperlink" Target="http://spqsapps.worldbank.org/qs/ECA/_layouts/15/WopiFrame.aspx?sourcedoc=/qs/ECA/SiteAssets/datalibweb_Guidelines_1page.pdf&amp;action=default" TargetMode="External"/><Relationship Id="rId63" Type="http://schemas.openxmlformats.org/officeDocument/2006/relationships/hyperlink" Target="https://wbl.worldbank.org/en/wbl" TargetMode="External"/><Relationship Id="rId68" Type="http://schemas.openxmlformats.org/officeDocument/2006/relationships/hyperlink" Target="https://github.com/Paola-Ballon/Social-Sustainability-Global-Database-v2.0/blob/main/documentation/SSGD%20v2.0%20codebook.xlsx" TargetMode="External"/><Relationship Id="rId84" Type="http://schemas.openxmlformats.org/officeDocument/2006/relationships/fontTable" Target="fontTable.xml"/><Relationship Id="rId16" Type="http://schemas.openxmlformats.org/officeDocument/2006/relationships/image" Target="media/image7.emf"/><Relationship Id="rId11" Type="http://schemas.openxmlformats.org/officeDocument/2006/relationships/hyperlink" Target="https://datacatalog.worldbank.org/int/search/dataset/0038272/world-bank-official-boundaries" TargetMode="External"/><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hyperlink" Target="https://www.latinobarometro.org/lat.jsp" TargetMode="External"/><Relationship Id="rId58" Type="http://schemas.openxmlformats.org/officeDocument/2006/relationships/hyperlink" Target="https://databank.worldbank.org/source/world-development-indicators" TargetMode="External"/><Relationship Id="rId74" Type="http://schemas.openxmlformats.org/officeDocument/2006/relationships/hyperlink" Target="https://login.gesis.org/realms/gesis/login-actions/registration?client_id=gesis-gws-client&amp;tab_id=zKStYMozrOQ" TargetMode="External"/><Relationship Id="rId79" Type="http://schemas.openxmlformats.org/officeDocument/2006/relationships/hyperlink" Target="https://www.worldvaluessurvey.org/WVSDocumentationWVL.jsp" TargetMode="External"/><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diagramLayout" Target="diagrams/layout1.xml"/><Relationship Id="rId48" Type="http://schemas.openxmlformats.org/officeDocument/2006/relationships/hyperlink" Target="https://datahelpdesk.worldbank.org/knowledgebase/articles/889464-wbopendata-stata-module-to-access-world-bank-data" TargetMode="External"/><Relationship Id="rId56" Type="http://schemas.openxmlformats.org/officeDocument/2006/relationships/hyperlink" Target="https://worldjusticeproject.org/" TargetMode="External"/><Relationship Id="rId64" Type="http://schemas.openxmlformats.org/officeDocument/2006/relationships/hyperlink" Target="https://www.eiu.com/n/campaigns/democracy-index-2022/" TargetMode="External"/><Relationship Id="rId69" Type="http://schemas.openxmlformats.org/officeDocument/2006/relationships/hyperlink" Target="https://www.asianbarometer.org/data?page=d10" TargetMode="External"/><Relationship Id="rId77" Type="http://schemas.openxmlformats.org/officeDocument/2006/relationships/hyperlink" Target="https://www.latinobarometro.org/latContents.jsp" TargetMode="External"/><Relationship Id="rId8" Type="http://schemas.openxmlformats.org/officeDocument/2006/relationships/image" Target="media/image2.png"/><Relationship Id="rId51" Type="http://schemas.openxmlformats.org/officeDocument/2006/relationships/hyperlink" Target="https://www.arabbarometer.org/" TargetMode="External"/><Relationship Id="rId72" Type="http://schemas.openxmlformats.org/officeDocument/2006/relationships/hyperlink" Target="https://acleddata.com/data-export-tool/"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diagramDrawing" Target="diagrams/drawing1.xml"/><Relationship Id="rId59" Type="http://schemas.openxmlformats.org/officeDocument/2006/relationships/hyperlink" Target="https://acleddata.com/" TargetMode="External"/><Relationship Id="rId67" Type="http://schemas.openxmlformats.org/officeDocument/2006/relationships/hyperlink" Target="https://github.com/Paola-Ballon/Social-Sustainability-Global-Database-v2.0/blob/main/documentation/supplementary_material_SSGD_v2.0.xlsx" TargetMode="External"/><Relationship Id="rId20" Type="http://schemas.openxmlformats.org/officeDocument/2006/relationships/image" Target="media/image11.emf"/><Relationship Id="rId41" Type="http://schemas.openxmlformats.org/officeDocument/2006/relationships/hyperlink" Target="https://github.com/Paola-Ballon/Social-Sustainability-Global-Database-v2.0/tree/main/documentation" TargetMode="External"/><Relationship Id="rId54" Type="http://schemas.openxmlformats.org/officeDocument/2006/relationships/hyperlink" Target="https://www.worldvaluessurvey.org/wvs.jsp" TargetMode="External"/><Relationship Id="rId62" Type="http://schemas.openxmlformats.org/officeDocument/2006/relationships/hyperlink" Target="https://hdr.undp.org/data-center/human-development-index" TargetMode="External"/><Relationship Id="rId70" Type="http://schemas.openxmlformats.org/officeDocument/2006/relationships/hyperlink" Target="https://www.latinobarometro.org/lat.jsp" TargetMode="External"/><Relationship Id="rId75" Type="http://schemas.openxmlformats.org/officeDocument/2006/relationships/hyperlink" Target="https://europeanvaluesstudy.eu/methodology-data-documentation/survey-2017/full-release-evs2017/documentation-survey-2017/" TargetMode="External"/><Relationship Id="rId83" Type="http://schemas.openxmlformats.org/officeDocument/2006/relationships/hyperlink" Target="https://www.worldbank.org/en/publication/equality-of-opportunity-for-sexual-and-gender-minor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hyperlink" Target="https://www.worldbank.org/en/publication/worldwide-governance-indicators" TargetMode="Externa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diagramQuickStyle" Target="diagrams/quickStyle1.xml"/><Relationship Id="rId52" Type="http://schemas.openxmlformats.org/officeDocument/2006/relationships/hyperlink" Target="https://www.asianbarometer.org/" TargetMode="External"/><Relationship Id="rId60" Type="http://schemas.openxmlformats.org/officeDocument/2006/relationships/hyperlink" Target="https://www.worldbank.org/en/publication/globalfindex" TargetMode="External"/><Relationship Id="rId65" Type="http://schemas.openxmlformats.org/officeDocument/2006/relationships/hyperlink" Target="https://esgdata.worldbank.org/?lang=en" TargetMode="External"/><Relationship Id="rId73" Type="http://schemas.openxmlformats.org/officeDocument/2006/relationships/hyperlink" Target="https://www.worldvaluessurvey.org/WVSDocumentationWVL.jsp" TargetMode="External"/><Relationship Id="rId78" Type="http://schemas.openxmlformats.org/officeDocument/2006/relationships/hyperlink" Target="https://acleddata.com/data-export-tool/" TargetMode="External"/><Relationship Id="rId81"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afrobarometer.org/" TargetMode="External"/><Relationship Id="rId55" Type="http://schemas.openxmlformats.org/officeDocument/2006/relationships/hyperlink" Target="https://europeanvaluesstudy.eu/" TargetMode="External"/><Relationship Id="rId76" Type="http://schemas.openxmlformats.org/officeDocument/2006/relationships/hyperlink" Target="https://www.asianbarometer.org/data?page=d10" TargetMode="External"/><Relationship Id="rId7" Type="http://schemas.openxmlformats.org/officeDocument/2006/relationships/endnotes" Target="endnotes.xml"/><Relationship Id="rId71" Type="http://schemas.openxmlformats.org/officeDocument/2006/relationships/hyperlink" Target="https://developer.acleddata.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diagramColors" Target="diagrams/colors1.xml"/><Relationship Id="rId66" Type="http://schemas.openxmlformats.org/officeDocument/2006/relationships/hyperlink" Target="https://www.worldbank.org/en/publication/equality-of-opportunity-for-sexual-and-gender-minorities" TargetMode="External"/><Relationship Id="rId61" Type="http://schemas.openxmlformats.org/officeDocument/2006/relationships/hyperlink" Target="https://monitor.civicus.org/" TargetMode="External"/><Relationship Id="rId82"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2146</TotalTime>
  <Pages>40</Pages>
  <Words>9478</Words>
  <Characters>52133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77</cp:revision>
  <dcterms:created xsi:type="dcterms:W3CDTF">2024-04-09T14:18:00Z</dcterms:created>
  <dcterms:modified xsi:type="dcterms:W3CDTF">2024-04-12T18:42:00Z</dcterms:modified>
</cp:coreProperties>
</file>