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A agenda de março estava cheia. Dia treze, Campinas. Dia dezesseis, a quadra da Portela, no Rio. Dias vinte e dois e vinte e três, São Paulo.</w:t>
      </w:r>
    </w:p>
    <w:p>
      <w:r>
        <w:rPr>
          <w:color w:val="000000"/>
        </w:rPr>
        <w:t>Emílio não chegou a nenhum desses palcos.</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A notícia correu entre os músicos em poucas horas. Ed Motta escreveu: "O maior cantor do Brasil Emilio Santiago partiu para o plano espiritual. Que tristeza meu Deus."</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Naquela época, o plano de Emílio passava longe da música.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Muitos anos depois, no programa de Fátima Bernardes, ele explicou como aquilo nasceu: "Você cresce e toma consciência das coisas. Comecei a perceber que não havia diplomatas negros."</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 No repertório, músicas de Ivan Lins e Jorge Ben Jor, entre outros.</w:t>
      </w:r>
    </w:p>
    <w:p>
      <w:r>
        <w:rPr>
          <w:color w:val="000000"/>
        </w:rPr>
        <w:t>A voz grave de Emílio começou a chamar atenção de músicos e produtores.</w:t>
      </w:r>
    </w:p>
    <w:p>
      <w:r>
        <w:rPr>
          <w:color w:val="000000"/>
        </w:rPr>
        <w:t>Só que, enquanto a carreira subia, a vida pessoal de Emílio ia ficando cada vez mais fechada.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