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2BC09" w14:textId="40E5EBC3" w:rsidR="00953893" w:rsidRDefault="004E789C" w:rsidP="004E789C">
      <w:pPr>
        <w:jc w:val="center"/>
        <w:rPr>
          <w:b/>
          <w:bCs/>
          <w:sz w:val="36"/>
          <w:szCs w:val="36"/>
        </w:rPr>
      </w:pPr>
      <w:r w:rsidRPr="004E789C">
        <w:rPr>
          <w:b/>
          <w:bCs/>
          <w:sz w:val="36"/>
          <w:szCs w:val="36"/>
        </w:rPr>
        <w:t>ANALISI CASI PER REGIONE COVID 19</w:t>
      </w:r>
    </w:p>
    <w:p w14:paraId="621245B7" w14:textId="72096182" w:rsidR="004E789C" w:rsidRDefault="004E789C" w:rsidP="004E789C">
      <w:pPr>
        <w:rPr>
          <w:b/>
          <w:bCs/>
          <w:sz w:val="36"/>
          <w:szCs w:val="36"/>
        </w:rPr>
      </w:pPr>
    </w:p>
    <w:p w14:paraId="2CBC15B7" w14:textId="1231697B" w:rsidR="00A16105" w:rsidRDefault="004E789C" w:rsidP="00A16105">
      <w:pPr>
        <w:rPr>
          <w:sz w:val="28"/>
          <w:szCs w:val="28"/>
        </w:rPr>
      </w:pPr>
      <w:r w:rsidRPr="004E789C">
        <w:rPr>
          <w:b/>
          <w:bCs/>
          <w:color w:val="FF0000"/>
          <w:sz w:val="28"/>
          <w:szCs w:val="28"/>
          <w:u w:val="single"/>
        </w:rPr>
        <w:t>AVVISO</w:t>
      </w:r>
      <w:r w:rsidRPr="004E789C">
        <w:rPr>
          <w:b/>
          <w:bCs/>
          <w:sz w:val="28"/>
          <w:szCs w:val="28"/>
        </w:rPr>
        <w:t xml:space="preserve">: rimando al file </w:t>
      </w:r>
      <w:r>
        <w:rPr>
          <w:b/>
          <w:bCs/>
          <w:sz w:val="28"/>
          <w:szCs w:val="28"/>
        </w:rPr>
        <w:t>E</w:t>
      </w:r>
      <w:r w:rsidRPr="004E789C">
        <w:rPr>
          <w:b/>
          <w:bCs/>
          <w:sz w:val="28"/>
          <w:szCs w:val="28"/>
        </w:rPr>
        <w:t>xcel</w:t>
      </w:r>
      <w:r>
        <w:rPr>
          <w:b/>
          <w:bCs/>
          <w:sz w:val="28"/>
          <w:szCs w:val="28"/>
        </w:rPr>
        <w:t xml:space="preserve"> (Misurazioni utili ad un’analisi dati)</w:t>
      </w:r>
      <w:r w:rsidRPr="004E789C">
        <w:rPr>
          <w:b/>
          <w:bCs/>
          <w:sz w:val="28"/>
          <w:szCs w:val="28"/>
        </w:rPr>
        <w:t xml:space="preserve"> per i grafici</w:t>
      </w:r>
      <w:r w:rsidR="00C11EB4">
        <w:rPr>
          <w:b/>
          <w:bCs/>
          <w:sz w:val="28"/>
          <w:szCs w:val="28"/>
        </w:rPr>
        <w:t xml:space="preserve"> e per la visione dei dati presi in esame</w:t>
      </w:r>
      <w:r>
        <w:rPr>
          <w:sz w:val="28"/>
          <w:szCs w:val="28"/>
        </w:rPr>
        <w:t>.</w:t>
      </w:r>
    </w:p>
    <w:p w14:paraId="1C38D29B" w14:textId="2F89EBE7" w:rsidR="00A16105" w:rsidRPr="00D24A12" w:rsidRDefault="00A16105" w:rsidP="00A16105">
      <w:pPr>
        <w:rPr>
          <w:b/>
          <w:bCs/>
          <w:sz w:val="28"/>
          <w:szCs w:val="28"/>
        </w:rPr>
      </w:pPr>
      <w:r w:rsidRPr="00D24A12">
        <w:rPr>
          <w:b/>
          <w:bCs/>
          <w:sz w:val="28"/>
          <w:szCs w:val="28"/>
        </w:rPr>
        <w:t xml:space="preserve">1). </w:t>
      </w:r>
      <w:r w:rsidR="004E789C" w:rsidRPr="00D24A12">
        <w:rPr>
          <w:b/>
          <w:bCs/>
          <w:sz w:val="28"/>
          <w:szCs w:val="28"/>
        </w:rPr>
        <w:t>In qual</w:t>
      </w:r>
      <w:r w:rsidRPr="00D24A12">
        <w:rPr>
          <w:b/>
          <w:bCs/>
          <w:sz w:val="28"/>
          <w:szCs w:val="28"/>
        </w:rPr>
        <w:t xml:space="preserve">i </w:t>
      </w:r>
      <w:r w:rsidR="004E789C" w:rsidRPr="00D24A12">
        <w:rPr>
          <w:b/>
          <w:bCs/>
          <w:sz w:val="28"/>
          <w:szCs w:val="28"/>
        </w:rPr>
        <w:t>regioni italiana ci sono stati più casi di covid?</w:t>
      </w:r>
    </w:p>
    <w:p w14:paraId="4A435112" w14:textId="72CA6E42" w:rsidR="00A16105" w:rsidRDefault="00A16105" w:rsidP="00A16105">
      <w:pPr>
        <w:rPr>
          <w:b/>
          <w:bCs/>
          <w:sz w:val="28"/>
          <w:szCs w:val="28"/>
        </w:rPr>
      </w:pPr>
      <w:r>
        <w:rPr>
          <w:sz w:val="28"/>
          <w:szCs w:val="28"/>
        </w:rPr>
        <w:t xml:space="preserve">La regione con il maggior numero di casi è la Lombardia con oltre </w:t>
      </w:r>
      <w:r w:rsidRPr="00A16105">
        <w:rPr>
          <w:b/>
          <w:bCs/>
          <w:sz w:val="28"/>
          <w:szCs w:val="28"/>
        </w:rPr>
        <w:t>430mila</w:t>
      </w:r>
      <w:r>
        <w:rPr>
          <w:sz w:val="28"/>
          <w:szCs w:val="28"/>
        </w:rPr>
        <w:t xml:space="preserve"> casi di covid registrati, un dato molto rilevante, in quanto, la regione che si classifica al secondo posto è il Veneto con </w:t>
      </w:r>
      <w:r w:rsidRPr="00A16105">
        <w:rPr>
          <w:b/>
          <w:bCs/>
          <w:sz w:val="28"/>
          <w:szCs w:val="28"/>
          <w:u w:val="single"/>
        </w:rPr>
        <w:t>150mila</w:t>
      </w:r>
      <w:r>
        <w:rPr>
          <w:sz w:val="28"/>
          <w:szCs w:val="28"/>
        </w:rPr>
        <w:t xml:space="preserve"> casi in meno, arrivando a contare quasi i </w:t>
      </w:r>
      <w:r w:rsidRPr="00A16105">
        <w:rPr>
          <w:b/>
          <w:bCs/>
          <w:sz w:val="28"/>
          <w:szCs w:val="28"/>
        </w:rPr>
        <w:t>280mila</w:t>
      </w:r>
      <w:r>
        <w:rPr>
          <w:b/>
          <w:bCs/>
          <w:sz w:val="28"/>
          <w:szCs w:val="28"/>
        </w:rPr>
        <w:t xml:space="preserve">. </w:t>
      </w:r>
    </w:p>
    <w:p w14:paraId="5AF4C26D" w14:textId="77777777" w:rsidR="00BE497B" w:rsidRDefault="00BE497B" w:rsidP="00A16105">
      <w:pPr>
        <w:rPr>
          <w:b/>
          <w:bCs/>
          <w:sz w:val="28"/>
          <w:szCs w:val="28"/>
        </w:rPr>
      </w:pPr>
    </w:p>
    <w:p w14:paraId="0BC7832C" w14:textId="2D6573DD" w:rsidR="00BE497B" w:rsidRDefault="007C032B" w:rsidP="00A16105">
      <w:pPr>
        <w:rPr>
          <w:sz w:val="28"/>
          <w:szCs w:val="28"/>
        </w:rPr>
      </w:pPr>
      <w:r>
        <w:rPr>
          <w:noProof/>
        </w:rPr>
        <w:drawing>
          <wp:inline distT="0" distB="0" distL="0" distR="0" wp14:anchorId="281AAB58" wp14:editId="222C2271">
            <wp:extent cx="4570095" cy="2745105"/>
            <wp:effectExtent l="0" t="0" r="1905" b="17145"/>
            <wp:docPr id="2" name="Grafico 2">
              <a:extLst xmlns:a="http://schemas.openxmlformats.org/drawingml/2006/main">
                <a:ext uri="{FF2B5EF4-FFF2-40B4-BE49-F238E27FC236}">
                  <a16:creationId xmlns:a16="http://schemas.microsoft.com/office/drawing/2014/main" id="{D76E21DD-B0EA-45D2-B16C-448FFAEF4F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FE4AC4" w14:textId="77777777" w:rsidR="00BE497B" w:rsidRDefault="00BE497B" w:rsidP="00A16105">
      <w:pPr>
        <w:rPr>
          <w:sz w:val="28"/>
          <w:szCs w:val="28"/>
        </w:rPr>
      </w:pPr>
    </w:p>
    <w:p w14:paraId="2273DA6D" w14:textId="6B01A413" w:rsidR="00A16105" w:rsidRPr="00D24A12" w:rsidRDefault="00A16105" w:rsidP="00A16105">
      <w:pPr>
        <w:rPr>
          <w:b/>
          <w:bCs/>
          <w:sz w:val="28"/>
          <w:szCs w:val="28"/>
        </w:rPr>
      </w:pPr>
      <w:r w:rsidRPr="00D24A12">
        <w:rPr>
          <w:b/>
          <w:bCs/>
          <w:sz w:val="28"/>
          <w:szCs w:val="28"/>
        </w:rPr>
        <w:t>2). Qual’ è la regione con il più alto tasso di mortalità rispetto alla popolazione che ci vive?</w:t>
      </w:r>
    </w:p>
    <w:p w14:paraId="15324B4A" w14:textId="207749DA" w:rsidR="00A16105" w:rsidRDefault="00A16105" w:rsidP="00A16105">
      <w:pPr>
        <w:rPr>
          <w:sz w:val="28"/>
          <w:szCs w:val="28"/>
        </w:rPr>
      </w:pPr>
      <w:r>
        <w:rPr>
          <w:sz w:val="28"/>
          <w:szCs w:val="28"/>
        </w:rPr>
        <w:t>La popolazione con il tasso di mortalità più elevato è la Valle d’ Aosta, con 1,11% di morti rispetto a</w:t>
      </w:r>
      <w:r w:rsidR="00BE497B">
        <w:rPr>
          <w:sz w:val="28"/>
          <w:szCs w:val="28"/>
        </w:rPr>
        <w:t>lle persone infettate, seguita direttamente dalla Lombardia con 1,09% di persone morte.</w:t>
      </w:r>
    </w:p>
    <w:p w14:paraId="1B58F26F" w14:textId="404BC385" w:rsidR="00BE497B" w:rsidRDefault="00BE497B" w:rsidP="00A16105">
      <w:pPr>
        <w:rPr>
          <w:sz w:val="28"/>
          <w:szCs w:val="28"/>
        </w:rPr>
      </w:pPr>
      <w:r>
        <w:rPr>
          <w:sz w:val="28"/>
          <w:szCs w:val="28"/>
        </w:rPr>
        <w:t>Da notare è il fatto che 1,11% = 579 persone, mentre 1,09% = 47031</w:t>
      </w:r>
    </w:p>
    <w:tbl>
      <w:tblPr>
        <w:tblpPr w:leftFromText="141" w:rightFromText="141" w:vertAnchor="page" w:horzAnchor="margin" w:tblpXSpec="right" w:tblpY="421"/>
        <w:tblW w:w="5180" w:type="dxa"/>
        <w:tblCellMar>
          <w:left w:w="70" w:type="dxa"/>
          <w:right w:w="70" w:type="dxa"/>
        </w:tblCellMar>
        <w:tblLook w:val="04A0" w:firstRow="1" w:lastRow="0" w:firstColumn="1" w:lastColumn="0" w:noHBand="0" w:noVBand="1"/>
      </w:tblPr>
      <w:tblGrid>
        <w:gridCol w:w="5180"/>
      </w:tblGrid>
      <w:tr w:rsidR="007C032B" w:rsidRPr="007C032B" w14:paraId="56F8B349"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70AD47" w:fill="70AD47"/>
            <w:noWrap/>
            <w:vAlign w:val="bottom"/>
            <w:hideMark/>
          </w:tcPr>
          <w:p w14:paraId="45728F85" w14:textId="77777777" w:rsidR="007C032B" w:rsidRPr="007C032B" w:rsidRDefault="007C032B" w:rsidP="007C032B">
            <w:pPr>
              <w:spacing w:after="0" w:line="240" w:lineRule="auto"/>
              <w:rPr>
                <w:rFonts w:ascii="Calibri" w:eastAsia="Times New Roman" w:hAnsi="Calibri" w:cs="Calibri"/>
                <w:b/>
                <w:bCs/>
                <w:color w:val="FFFFFF"/>
                <w:kern w:val="0"/>
                <w:lang w:eastAsia="it-IT"/>
                <w14:ligatures w14:val="none"/>
              </w:rPr>
            </w:pPr>
            <w:r w:rsidRPr="007C032B">
              <w:rPr>
                <w:rFonts w:ascii="Calibri" w:eastAsia="Times New Roman" w:hAnsi="Calibri" w:cs="Calibri"/>
                <w:b/>
                <w:bCs/>
                <w:color w:val="FFFFFF"/>
                <w:kern w:val="0"/>
                <w:lang w:eastAsia="it-IT"/>
                <w14:ligatures w14:val="none"/>
              </w:rPr>
              <w:lastRenderedPageBreak/>
              <w:t>Rapporto Guariti/Deceduti nelle regioni</w:t>
            </w:r>
          </w:p>
        </w:tc>
      </w:tr>
      <w:tr w:rsidR="007C032B" w:rsidRPr="007C032B" w14:paraId="714298C2"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E2EFDA" w:fill="E2EFDA"/>
            <w:noWrap/>
            <w:vAlign w:val="bottom"/>
            <w:hideMark/>
          </w:tcPr>
          <w:p w14:paraId="1E02ECC9" w14:textId="77777777"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Piemonte = 96,25 vivi e 0,78 morti </w:t>
            </w:r>
          </w:p>
        </w:tc>
      </w:tr>
      <w:tr w:rsidR="007C032B" w:rsidRPr="007C032B" w14:paraId="35B9DCAF"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auto" w:fill="auto"/>
            <w:noWrap/>
            <w:vAlign w:val="bottom"/>
            <w:hideMark/>
          </w:tcPr>
          <w:p w14:paraId="22EB3E18" w14:textId="47322434"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Valle d'Aosta/Vallée d'Aoste = 98,71 vivi e 1,11 morti </w:t>
            </w:r>
          </w:p>
        </w:tc>
      </w:tr>
      <w:tr w:rsidR="007C032B" w:rsidRPr="007C032B" w14:paraId="50B968D3"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E2EFDA" w:fill="E2EFDA"/>
            <w:noWrap/>
            <w:vAlign w:val="bottom"/>
            <w:hideMark/>
          </w:tcPr>
          <w:p w14:paraId="365407BB" w14:textId="4EBD1742"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Lombardia = 98,48 vivi e 1,09 morti </w:t>
            </w:r>
          </w:p>
        </w:tc>
      </w:tr>
      <w:tr w:rsidR="007C032B" w:rsidRPr="007C032B" w14:paraId="6FD0CF2D"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auto" w:fill="auto"/>
            <w:noWrap/>
            <w:vAlign w:val="bottom"/>
            <w:hideMark/>
          </w:tcPr>
          <w:p w14:paraId="73F742F6" w14:textId="7F53D91D"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Trentino-Alto Adige/Südtirol = 99,25 vivi e 0,6 morti </w:t>
            </w:r>
          </w:p>
        </w:tc>
      </w:tr>
      <w:tr w:rsidR="007C032B" w:rsidRPr="007C032B" w14:paraId="411724B3"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E2EFDA" w:fill="E2EFDA"/>
            <w:noWrap/>
            <w:vAlign w:val="bottom"/>
            <w:hideMark/>
          </w:tcPr>
          <w:p w14:paraId="38A8DC45" w14:textId="686ED7A6"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Veneto = 98,9 vivi e 0,61 morti </w:t>
            </w:r>
          </w:p>
        </w:tc>
      </w:tr>
      <w:tr w:rsidR="007C032B" w:rsidRPr="007C032B" w14:paraId="67048BA8"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auto" w:fill="auto"/>
            <w:noWrap/>
            <w:vAlign w:val="bottom"/>
            <w:hideMark/>
          </w:tcPr>
          <w:p w14:paraId="2FE7B481" w14:textId="175D1156"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Friuli-Venezia Giulia = 98,68 vivi e 1,07 morti </w:t>
            </w:r>
          </w:p>
        </w:tc>
      </w:tr>
      <w:tr w:rsidR="007C032B" w:rsidRPr="007C032B" w14:paraId="132BBE7C"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E2EFDA" w:fill="E2EFDA"/>
            <w:noWrap/>
            <w:vAlign w:val="bottom"/>
            <w:hideMark/>
          </w:tcPr>
          <w:p w14:paraId="346EA138" w14:textId="5ADACFA7"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Liguria = 99,07 vivi e 0,88 morti </w:t>
            </w:r>
          </w:p>
        </w:tc>
      </w:tr>
      <w:tr w:rsidR="007C032B" w:rsidRPr="007C032B" w14:paraId="33876AF7"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auto" w:fill="auto"/>
            <w:noWrap/>
            <w:vAlign w:val="bottom"/>
            <w:hideMark/>
          </w:tcPr>
          <w:p w14:paraId="1037460F" w14:textId="563C1ABE"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Emilia-Romagna = 98,67 vivi e 0,9 morti </w:t>
            </w:r>
          </w:p>
        </w:tc>
      </w:tr>
      <w:tr w:rsidR="007C032B" w:rsidRPr="007C032B" w14:paraId="685D0D4D"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E2EFDA" w:fill="E2EFDA"/>
            <w:noWrap/>
            <w:vAlign w:val="bottom"/>
            <w:hideMark/>
          </w:tcPr>
          <w:p w14:paraId="6D1F6470" w14:textId="7C90B351"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Toscana = 98,94 vivi e 0,75 morti </w:t>
            </w:r>
          </w:p>
        </w:tc>
      </w:tr>
      <w:tr w:rsidR="007C032B" w:rsidRPr="007C032B" w14:paraId="6E2D6680"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auto" w:fill="auto"/>
            <w:noWrap/>
            <w:vAlign w:val="bottom"/>
            <w:hideMark/>
          </w:tcPr>
          <w:p w14:paraId="54D44379" w14:textId="06296191"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Umbria = 98,89 vivi e 0,55 morti </w:t>
            </w:r>
          </w:p>
        </w:tc>
      </w:tr>
      <w:tr w:rsidR="007C032B" w:rsidRPr="007C032B" w14:paraId="5A15F45D"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E2EFDA" w:fill="E2EFDA"/>
            <w:noWrap/>
            <w:vAlign w:val="bottom"/>
            <w:hideMark/>
          </w:tcPr>
          <w:p w14:paraId="5EC22BC4" w14:textId="41E207EC"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Marche = 99,35 vivi e 0,61 morti </w:t>
            </w:r>
          </w:p>
        </w:tc>
      </w:tr>
      <w:tr w:rsidR="007C032B" w:rsidRPr="007C032B" w14:paraId="6CA8A72E"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auto" w:fill="auto"/>
            <w:noWrap/>
            <w:vAlign w:val="bottom"/>
            <w:hideMark/>
          </w:tcPr>
          <w:p w14:paraId="174C7EC9" w14:textId="31E539AA"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Lazio = 97,6 vivi e 0,53 morti </w:t>
            </w:r>
          </w:p>
        </w:tc>
      </w:tr>
      <w:tr w:rsidR="007C032B" w:rsidRPr="007C032B" w14:paraId="4E741E4F"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E2EFDA" w:fill="E2EFDA"/>
            <w:noWrap/>
            <w:vAlign w:val="bottom"/>
            <w:hideMark/>
          </w:tcPr>
          <w:p w14:paraId="1D227877" w14:textId="1756C86C"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Abruzzo = 98,14 vivi e 0,59 morti </w:t>
            </w:r>
          </w:p>
        </w:tc>
      </w:tr>
      <w:tr w:rsidR="007C032B" w:rsidRPr="007C032B" w14:paraId="52659F7C"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auto" w:fill="auto"/>
            <w:noWrap/>
            <w:vAlign w:val="bottom"/>
            <w:hideMark/>
          </w:tcPr>
          <w:p w14:paraId="57BB9590" w14:textId="775388FC"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Molise = 98,04 vivi e 0,74 morti </w:t>
            </w:r>
          </w:p>
        </w:tc>
      </w:tr>
      <w:tr w:rsidR="007C032B" w:rsidRPr="007C032B" w14:paraId="7B50E9A8"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E2EFDA" w:fill="E2EFDA"/>
            <w:noWrap/>
            <w:vAlign w:val="bottom"/>
            <w:hideMark/>
          </w:tcPr>
          <w:p w14:paraId="1FA440A6" w14:textId="5ABB1CC3"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Campania = 98,31 vivi e 0,48 morti </w:t>
            </w:r>
          </w:p>
        </w:tc>
      </w:tr>
      <w:tr w:rsidR="007C032B" w:rsidRPr="007C032B" w14:paraId="072E4522"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auto" w:fill="auto"/>
            <w:noWrap/>
            <w:vAlign w:val="bottom"/>
            <w:hideMark/>
          </w:tcPr>
          <w:p w14:paraId="6A20CB90" w14:textId="574B505C"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Puglia = 98,93 vivi e 0,59 morti </w:t>
            </w:r>
          </w:p>
        </w:tc>
      </w:tr>
      <w:tr w:rsidR="007C032B" w:rsidRPr="007C032B" w14:paraId="5B892881"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E2EFDA" w:fill="E2EFDA"/>
            <w:noWrap/>
            <w:vAlign w:val="bottom"/>
            <w:hideMark/>
          </w:tcPr>
          <w:p w14:paraId="151ED975" w14:textId="7F56CC5C"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Basilicata = 94,79 vivi e 0,52 morti </w:t>
            </w:r>
          </w:p>
        </w:tc>
      </w:tr>
      <w:tr w:rsidR="007C032B" w:rsidRPr="007C032B" w14:paraId="3A9F129E"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auto" w:fill="auto"/>
            <w:noWrap/>
            <w:vAlign w:val="bottom"/>
            <w:hideMark/>
          </w:tcPr>
          <w:p w14:paraId="37E3D63F" w14:textId="3FEAD7B0"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Calabria = 98,97 vivi e 0,55 morti </w:t>
            </w:r>
          </w:p>
        </w:tc>
      </w:tr>
      <w:tr w:rsidR="007C032B" w:rsidRPr="007C032B" w14:paraId="4738527B"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E2EFDA" w:fill="E2EFDA"/>
            <w:noWrap/>
            <w:vAlign w:val="bottom"/>
            <w:hideMark/>
          </w:tcPr>
          <w:p w14:paraId="039A082D" w14:textId="1CB4A91F"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Sicilia = 99,18 vivi e 0,71 morti </w:t>
            </w:r>
          </w:p>
        </w:tc>
      </w:tr>
      <w:tr w:rsidR="007C032B" w:rsidRPr="007C032B" w14:paraId="47DC5142" w14:textId="77777777" w:rsidTr="007C032B">
        <w:trPr>
          <w:trHeight w:val="288"/>
        </w:trPr>
        <w:tc>
          <w:tcPr>
            <w:tcW w:w="5180" w:type="dxa"/>
            <w:tcBorders>
              <w:top w:val="single" w:sz="4" w:space="0" w:color="A9D08E"/>
              <w:left w:val="nil"/>
              <w:bottom w:val="single" w:sz="4" w:space="0" w:color="A9D08E"/>
              <w:right w:val="single" w:sz="4" w:space="0" w:color="A9D08E"/>
            </w:tcBorders>
            <w:shd w:val="clear" w:color="auto" w:fill="auto"/>
            <w:noWrap/>
            <w:vAlign w:val="bottom"/>
            <w:hideMark/>
          </w:tcPr>
          <w:p w14:paraId="56C111FF" w14:textId="59C8C48E" w:rsidR="007C032B" w:rsidRPr="007C032B" w:rsidRDefault="007C032B" w:rsidP="007C032B">
            <w:pPr>
              <w:spacing w:after="0" w:line="240" w:lineRule="auto"/>
              <w:rPr>
                <w:rFonts w:ascii="Calibri" w:eastAsia="Times New Roman" w:hAnsi="Calibri" w:cs="Calibri"/>
                <w:color w:val="000000"/>
                <w:kern w:val="0"/>
                <w:lang w:eastAsia="it-IT"/>
                <w14:ligatures w14:val="none"/>
              </w:rPr>
            </w:pPr>
            <w:r w:rsidRPr="007C032B">
              <w:rPr>
                <w:rFonts w:ascii="Calibri" w:eastAsia="Times New Roman" w:hAnsi="Calibri" w:cs="Calibri"/>
                <w:color w:val="000000"/>
                <w:kern w:val="0"/>
                <w:lang w:eastAsia="it-IT"/>
                <w14:ligatures w14:val="none"/>
              </w:rPr>
              <w:t xml:space="preserve">Sardegna = 97,7 vivi e 0,57 morti </w:t>
            </w:r>
          </w:p>
        </w:tc>
      </w:tr>
    </w:tbl>
    <w:p w14:paraId="613B933B" w14:textId="77777777" w:rsidR="007C032B" w:rsidRDefault="007C032B" w:rsidP="00A16105">
      <w:pPr>
        <w:rPr>
          <w:sz w:val="28"/>
          <w:szCs w:val="28"/>
        </w:rPr>
      </w:pPr>
      <w:r>
        <w:rPr>
          <w:noProof/>
        </w:rPr>
        <w:drawing>
          <wp:inline distT="0" distB="0" distL="0" distR="0" wp14:anchorId="470E102E" wp14:editId="26C9D018">
            <wp:extent cx="2529840" cy="2238375"/>
            <wp:effectExtent l="0" t="0" r="3810" b="9525"/>
            <wp:docPr id="3" name="Grafico 3">
              <a:extLst xmlns:a="http://schemas.openxmlformats.org/drawingml/2006/main">
                <a:ext uri="{FF2B5EF4-FFF2-40B4-BE49-F238E27FC236}">
                  <a16:creationId xmlns:a16="http://schemas.microsoft.com/office/drawing/2014/main" id="{CD8EC1AA-2E16-46B8-A4AD-A6688EB21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5989E68" w14:textId="59099F92" w:rsidR="007C032B" w:rsidRDefault="007C032B" w:rsidP="00A16105">
      <w:pPr>
        <w:rPr>
          <w:sz w:val="28"/>
          <w:szCs w:val="28"/>
        </w:rPr>
      </w:pPr>
    </w:p>
    <w:p w14:paraId="00C56655" w14:textId="2FF38998" w:rsidR="007C032B" w:rsidRDefault="007C032B" w:rsidP="00A16105">
      <w:pPr>
        <w:rPr>
          <w:sz w:val="28"/>
          <w:szCs w:val="28"/>
        </w:rPr>
      </w:pPr>
    </w:p>
    <w:p w14:paraId="2CF26756" w14:textId="6A73086C" w:rsidR="007C032B" w:rsidRDefault="007C032B" w:rsidP="00A16105">
      <w:pPr>
        <w:rPr>
          <w:sz w:val="28"/>
          <w:szCs w:val="28"/>
        </w:rPr>
      </w:pPr>
    </w:p>
    <w:p w14:paraId="5A1705F1" w14:textId="77777777" w:rsidR="007C032B" w:rsidRDefault="007C032B" w:rsidP="00A16105">
      <w:pPr>
        <w:rPr>
          <w:sz w:val="28"/>
          <w:szCs w:val="28"/>
        </w:rPr>
      </w:pPr>
    </w:p>
    <w:p w14:paraId="06688531" w14:textId="77777777" w:rsidR="00BE497B" w:rsidRDefault="00BE497B" w:rsidP="00A16105">
      <w:pPr>
        <w:rPr>
          <w:sz w:val="28"/>
          <w:szCs w:val="28"/>
        </w:rPr>
      </w:pPr>
    </w:p>
    <w:p w14:paraId="1BDED461" w14:textId="29297DDD" w:rsidR="00BE497B" w:rsidRPr="00D24A12" w:rsidRDefault="00BE497B" w:rsidP="00A16105">
      <w:pPr>
        <w:rPr>
          <w:b/>
          <w:bCs/>
          <w:sz w:val="28"/>
          <w:szCs w:val="28"/>
        </w:rPr>
      </w:pPr>
      <w:r w:rsidRPr="00D24A12">
        <w:rPr>
          <w:b/>
          <w:bCs/>
          <w:sz w:val="28"/>
          <w:szCs w:val="28"/>
        </w:rPr>
        <w:t>3). Quali aree dell’Italia presentano una maggiore mortalità?</w:t>
      </w:r>
    </w:p>
    <w:p w14:paraId="7ED47DB3" w14:textId="655A3A80" w:rsidR="00BE497B" w:rsidRDefault="00BE497B" w:rsidP="00A16105">
      <w:pPr>
        <w:rPr>
          <w:sz w:val="28"/>
          <w:szCs w:val="28"/>
        </w:rPr>
      </w:pPr>
      <w:r>
        <w:rPr>
          <w:noProof/>
        </w:rPr>
        <mc:AlternateContent>
          <mc:Choice Requires="cx1">
            <w:drawing>
              <wp:inline distT="0" distB="0" distL="0" distR="0" wp14:anchorId="51832545" wp14:editId="267E1BC0">
                <wp:extent cx="5608320" cy="2305050"/>
                <wp:effectExtent l="0" t="0" r="11430" b="0"/>
                <wp:docPr id="1" name="Grafico 1">
                  <a:extLst xmlns:a="http://schemas.openxmlformats.org/drawingml/2006/main">
                    <a:ext uri="{FF2B5EF4-FFF2-40B4-BE49-F238E27FC236}">
                      <a16:creationId xmlns:a16="http://schemas.microsoft.com/office/drawing/2014/main" id="{5D6E831F-2BFF-46A0-8C0B-27397AAFCE1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1832545" wp14:editId="267E1BC0">
                <wp:extent cx="5608320" cy="2305050"/>
                <wp:effectExtent l="0" t="0" r="11430" b="0"/>
                <wp:docPr id="1" name="Grafico 1">
                  <a:extLst xmlns:a="http://schemas.openxmlformats.org/drawingml/2006/main">
                    <a:ext uri="{FF2B5EF4-FFF2-40B4-BE49-F238E27FC236}">
                      <a16:creationId xmlns:a16="http://schemas.microsoft.com/office/drawing/2014/main" id="{5D6E831F-2BFF-46A0-8C0B-27397AAFCE1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afico 1">
                          <a:extLst>
                            <a:ext uri="{FF2B5EF4-FFF2-40B4-BE49-F238E27FC236}">
                              <a16:creationId xmlns:a16="http://schemas.microsoft.com/office/drawing/2014/main" id="{5D6E831F-2BFF-46A0-8C0B-27397AAFCE13}"/>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608320" cy="2305050"/>
                        </a:xfrm>
                        <a:prstGeom prst="rect">
                          <a:avLst/>
                        </a:prstGeom>
                      </pic:spPr>
                    </pic:pic>
                  </a:graphicData>
                </a:graphic>
              </wp:inline>
            </w:drawing>
          </mc:Fallback>
        </mc:AlternateContent>
      </w:r>
    </w:p>
    <w:p w14:paraId="16F9380C" w14:textId="77777777" w:rsidR="00BE497B" w:rsidRDefault="00BE497B" w:rsidP="00A16105">
      <w:pPr>
        <w:rPr>
          <w:sz w:val="28"/>
          <w:szCs w:val="28"/>
        </w:rPr>
      </w:pPr>
    </w:p>
    <w:p w14:paraId="1CF931FF" w14:textId="3904788E" w:rsidR="007C032B" w:rsidRDefault="00BE497B" w:rsidP="00A16105">
      <w:pPr>
        <w:rPr>
          <w:sz w:val="28"/>
          <w:szCs w:val="28"/>
        </w:rPr>
      </w:pPr>
      <w:r>
        <w:rPr>
          <w:sz w:val="28"/>
          <w:szCs w:val="28"/>
        </w:rPr>
        <w:t xml:space="preserve">Dalla lettura del grafico (Aree con maggiore mortalità) si evince subito </w:t>
      </w:r>
      <w:r w:rsidR="007C032B">
        <w:rPr>
          <w:sz w:val="28"/>
          <w:szCs w:val="28"/>
        </w:rPr>
        <w:t xml:space="preserve">che il nord Italia presenta un altissimo tasso di mortalità rispetto al centro-sud. L’ isolazionismo delle isole potrebbe essere il fattore che ha predisposto un minor </w:t>
      </w:r>
      <w:r w:rsidR="00C11EB4">
        <w:rPr>
          <w:sz w:val="28"/>
          <w:szCs w:val="28"/>
        </w:rPr>
        <w:t xml:space="preserve">tasso </w:t>
      </w:r>
      <w:r w:rsidR="007C032B">
        <w:rPr>
          <w:sz w:val="28"/>
          <w:szCs w:val="28"/>
        </w:rPr>
        <w:t xml:space="preserve">di mortalità in quanto c’era meno probabilità di essere </w:t>
      </w:r>
      <w:r w:rsidR="00C11EB4">
        <w:rPr>
          <w:sz w:val="28"/>
          <w:szCs w:val="28"/>
        </w:rPr>
        <w:t>contagiati.</w:t>
      </w:r>
    </w:p>
    <w:p w14:paraId="7B91AABC" w14:textId="1E4FF59F" w:rsidR="00C11EB4" w:rsidRDefault="00C11EB4" w:rsidP="00A16105">
      <w:pPr>
        <w:rPr>
          <w:sz w:val="28"/>
          <w:szCs w:val="28"/>
        </w:rPr>
      </w:pPr>
    </w:p>
    <w:p w14:paraId="5468D623" w14:textId="77777777" w:rsidR="00C11EB4" w:rsidRDefault="00C11EB4" w:rsidP="00A16105">
      <w:pPr>
        <w:rPr>
          <w:sz w:val="28"/>
          <w:szCs w:val="28"/>
        </w:rPr>
      </w:pPr>
    </w:p>
    <w:p w14:paraId="7C8E8A08" w14:textId="04C9FFD9" w:rsidR="00C11EB4" w:rsidRPr="00D24A12" w:rsidRDefault="00C11EB4" w:rsidP="00A16105">
      <w:pPr>
        <w:rPr>
          <w:b/>
          <w:bCs/>
          <w:sz w:val="28"/>
          <w:szCs w:val="28"/>
        </w:rPr>
      </w:pPr>
      <w:r w:rsidRPr="00D24A12">
        <w:rPr>
          <w:b/>
          <w:bCs/>
          <w:sz w:val="28"/>
          <w:szCs w:val="28"/>
        </w:rPr>
        <w:lastRenderedPageBreak/>
        <w:t>4) Quali sono le regioni con il più alto tasso di guarigione? La guarigione com’è viene distribuita tra le aree italiane?</w:t>
      </w:r>
    </w:p>
    <w:p w14:paraId="1E30023D" w14:textId="2192CDED" w:rsidR="00D24A12" w:rsidRDefault="00C11EB4" w:rsidP="00A16105">
      <w:pPr>
        <w:rPr>
          <w:sz w:val="28"/>
          <w:szCs w:val="28"/>
        </w:rPr>
      </w:pPr>
      <w:r>
        <w:rPr>
          <w:sz w:val="28"/>
          <w:szCs w:val="28"/>
        </w:rPr>
        <w:t xml:space="preserve">In Italia ci sono </w:t>
      </w:r>
      <w:r w:rsidR="00D24A12">
        <w:rPr>
          <w:sz w:val="28"/>
          <w:szCs w:val="28"/>
        </w:rPr>
        <w:t>4</w:t>
      </w:r>
      <w:r>
        <w:rPr>
          <w:sz w:val="28"/>
          <w:szCs w:val="28"/>
        </w:rPr>
        <w:t xml:space="preserve"> regioni che presentano un alto tasso di guarigione che supera il 99%. Al primo posto troviamo </w:t>
      </w:r>
      <w:r w:rsidR="00D24A12" w:rsidRPr="00D24A12">
        <w:rPr>
          <w:b/>
          <w:bCs/>
          <w:sz w:val="28"/>
          <w:szCs w:val="28"/>
        </w:rPr>
        <w:t xml:space="preserve">le Marche </w:t>
      </w:r>
      <w:r w:rsidRPr="00D24A12">
        <w:rPr>
          <w:b/>
          <w:bCs/>
          <w:sz w:val="28"/>
          <w:szCs w:val="28"/>
        </w:rPr>
        <w:t xml:space="preserve">con </w:t>
      </w:r>
      <w:r w:rsidR="00D24A12" w:rsidRPr="00D24A12">
        <w:rPr>
          <w:b/>
          <w:bCs/>
          <w:sz w:val="28"/>
          <w:szCs w:val="28"/>
        </w:rPr>
        <w:t>il 99,34%</w:t>
      </w:r>
      <w:r w:rsidR="00D24A12">
        <w:rPr>
          <w:sz w:val="28"/>
          <w:szCs w:val="28"/>
        </w:rPr>
        <w:t xml:space="preserve"> di guariti, a seguire si presentano Trentino con 99,25%, la Sicilia e la Liguria con rispettivamente il 99,18% ed il 99,07%.</w:t>
      </w:r>
    </w:p>
    <w:p w14:paraId="17F2C69B" w14:textId="10FB137A" w:rsidR="00D24A12" w:rsidRDefault="00D24A12" w:rsidP="00A16105">
      <w:pPr>
        <w:rPr>
          <w:sz w:val="28"/>
          <w:szCs w:val="28"/>
        </w:rPr>
      </w:pPr>
      <w:r>
        <w:rPr>
          <w:sz w:val="28"/>
          <w:szCs w:val="28"/>
        </w:rPr>
        <w:t xml:space="preserve">Le aree con una maggiore guarigione proporzionata al numero dei casi sono quelle del nord Italia per poi scendere al centro nord, da notare che le isole presentano rispetto alle altre aree un sostanziale dislivello di guarigione, questo dovrebbe essere dovuto al minor numero di casi rispetto alle altre aree. </w:t>
      </w:r>
    </w:p>
    <w:p w14:paraId="66B6EB0B" w14:textId="0B26F648" w:rsidR="00D24A12" w:rsidRDefault="00D24A12" w:rsidP="00A16105">
      <w:pPr>
        <w:rPr>
          <w:sz w:val="28"/>
          <w:szCs w:val="28"/>
        </w:rPr>
      </w:pPr>
      <w:r>
        <w:rPr>
          <w:noProof/>
        </w:rPr>
        <mc:AlternateContent>
          <mc:Choice Requires="cx1">
            <w:drawing>
              <wp:inline distT="0" distB="0" distL="0" distR="0" wp14:anchorId="3B1D5021" wp14:editId="4EFB4AC6">
                <wp:extent cx="4579620" cy="2743200"/>
                <wp:effectExtent l="0" t="0" r="11430" b="0"/>
                <wp:docPr id="4" name="Grafico 4">
                  <a:extLst xmlns:a="http://schemas.openxmlformats.org/drawingml/2006/main">
                    <a:ext uri="{FF2B5EF4-FFF2-40B4-BE49-F238E27FC236}">
                      <a16:creationId xmlns:a16="http://schemas.microsoft.com/office/drawing/2014/main" id="{F8DA4C7E-CE1A-4A55-B03D-116A114AB3B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3B1D5021" wp14:editId="4EFB4AC6">
                <wp:extent cx="4579620" cy="2743200"/>
                <wp:effectExtent l="0" t="0" r="11430" b="0"/>
                <wp:docPr id="4" name="Grafico 4">
                  <a:extLst xmlns:a="http://schemas.openxmlformats.org/drawingml/2006/main">
                    <a:ext uri="{FF2B5EF4-FFF2-40B4-BE49-F238E27FC236}">
                      <a16:creationId xmlns:a16="http://schemas.microsoft.com/office/drawing/2014/main" id="{F8DA4C7E-CE1A-4A55-B03D-116A114AB3B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Grafico 4">
                          <a:extLst>
                            <a:ext uri="{FF2B5EF4-FFF2-40B4-BE49-F238E27FC236}">
                              <a16:creationId xmlns:a16="http://schemas.microsoft.com/office/drawing/2014/main" id="{F8DA4C7E-CE1A-4A55-B03D-116A114AB3B6}"/>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579620" cy="2743200"/>
                        </a:xfrm>
                        <a:prstGeom prst="rect">
                          <a:avLst/>
                        </a:prstGeom>
                      </pic:spPr>
                    </pic:pic>
                  </a:graphicData>
                </a:graphic>
              </wp:inline>
            </w:drawing>
          </mc:Fallback>
        </mc:AlternateContent>
      </w:r>
    </w:p>
    <w:p w14:paraId="70C2DC27" w14:textId="27B6F94D" w:rsidR="00D24A12" w:rsidRDefault="00D24A12" w:rsidP="00A16105">
      <w:pPr>
        <w:rPr>
          <w:sz w:val="28"/>
          <w:szCs w:val="28"/>
        </w:rPr>
      </w:pPr>
    </w:p>
    <w:p w14:paraId="3186D06C" w14:textId="5B4F36A8" w:rsidR="00D24A12" w:rsidRDefault="00700B85" w:rsidP="00A16105">
      <w:pPr>
        <w:rPr>
          <w:sz w:val="28"/>
          <w:szCs w:val="28"/>
        </w:rPr>
      </w:pPr>
      <w:r>
        <w:rPr>
          <w:sz w:val="28"/>
          <w:szCs w:val="28"/>
        </w:rPr>
        <w:t>5) Commento finale sui dati totali:</w:t>
      </w:r>
    </w:p>
    <w:tbl>
      <w:tblPr>
        <w:tblW w:w="4816" w:type="dxa"/>
        <w:tblCellMar>
          <w:left w:w="70" w:type="dxa"/>
          <w:right w:w="70" w:type="dxa"/>
        </w:tblCellMar>
        <w:tblLook w:val="04A0" w:firstRow="1" w:lastRow="0" w:firstColumn="1" w:lastColumn="0" w:noHBand="0" w:noVBand="1"/>
      </w:tblPr>
      <w:tblGrid>
        <w:gridCol w:w="1888"/>
        <w:gridCol w:w="1033"/>
        <w:gridCol w:w="1033"/>
        <w:gridCol w:w="976"/>
      </w:tblGrid>
      <w:tr w:rsidR="00700B85" w:rsidRPr="00700B85" w14:paraId="7D5D3D89" w14:textId="77777777" w:rsidTr="00700B85">
        <w:trPr>
          <w:trHeight w:val="288"/>
        </w:trPr>
        <w:tc>
          <w:tcPr>
            <w:tcW w:w="1888" w:type="dxa"/>
            <w:tcBorders>
              <w:top w:val="double" w:sz="6" w:space="0" w:color="70AD47"/>
              <w:left w:val="single" w:sz="4" w:space="0" w:color="A9D08E"/>
              <w:bottom w:val="single" w:sz="4" w:space="0" w:color="A9D08E"/>
              <w:right w:val="nil"/>
            </w:tcBorders>
            <w:shd w:val="clear" w:color="auto" w:fill="auto"/>
            <w:noWrap/>
            <w:vAlign w:val="bottom"/>
            <w:hideMark/>
          </w:tcPr>
          <w:p w14:paraId="29F9E76D" w14:textId="77777777" w:rsidR="00700B85" w:rsidRPr="00700B85" w:rsidRDefault="00700B85" w:rsidP="00700B85">
            <w:pPr>
              <w:spacing w:after="0" w:line="240" w:lineRule="auto"/>
              <w:rPr>
                <w:rFonts w:ascii="Calibri" w:eastAsia="Times New Roman" w:hAnsi="Calibri" w:cs="Calibri"/>
                <w:b/>
                <w:bCs/>
                <w:color w:val="000000"/>
                <w:kern w:val="0"/>
                <w:lang w:eastAsia="it-IT"/>
                <w14:ligatures w14:val="none"/>
              </w:rPr>
            </w:pPr>
            <w:r w:rsidRPr="00700B85">
              <w:rPr>
                <w:rFonts w:ascii="Calibri" w:eastAsia="Times New Roman" w:hAnsi="Calibri" w:cs="Calibri"/>
                <w:b/>
                <w:bCs/>
                <w:color w:val="000000"/>
                <w:kern w:val="0"/>
                <w:lang w:eastAsia="it-IT"/>
                <w14:ligatures w14:val="none"/>
              </w:rPr>
              <w:t>Totale</w:t>
            </w:r>
          </w:p>
        </w:tc>
        <w:tc>
          <w:tcPr>
            <w:tcW w:w="976" w:type="dxa"/>
            <w:tcBorders>
              <w:top w:val="double" w:sz="6" w:space="0" w:color="70AD47"/>
              <w:left w:val="nil"/>
              <w:bottom w:val="single" w:sz="4" w:space="0" w:color="A9D08E"/>
              <w:right w:val="nil"/>
            </w:tcBorders>
            <w:shd w:val="clear" w:color="auto" w:fill="auto"/>
            <w:noWrap/>
            <w:vAlign w:val="bottom"/>
            <w:hideMark/>
          </w:tcPr>
          <w:p w14:paraId="732FFC17" w14:textId="77777777" w:rsidR="00700B85" w:rsidRPr="00700B85" w:rsidRDefault="00700B85" w:rsidP="00700B85">
            <w:pPr>
              <w:spacing w:after="0" w:line="240" w:lineRule="auto"/>
              <w:jc w:val="right"/>
              <w:rPr>
                <w:rFonts w:ascii="Calibri" w:eastAsia="Times New Roman" w:hAnsi="Calibri" w:cs="Calibri"/>
                <w:b/>
                <w:bCs/>
                <w:color w:val="000000"/>
                <w:kern w:val="0"/>
                <w:lang w:eastAsia="it-IT"/>
                <w14:ligatures w14:val="none"/>
              </w:rPr>
            </w:pPr>
            <w:r w:rsidRPr="00700B85">
              <w:rPr>
                <w:rFonts w:ascii="Calibri" w:eastAsia="Times New Roman" w:hAnsi="Calibri" w:cs="Calibri"/>
                <w:b/>
                <w:bCs/>
                <w:color w:val="000000"/>
                <w:kern w:val="0"/>
                <w:lang w:eastAsia="it-IT"/>
                <w14:ligatures w14:val="none"/>
              </w:rPr>
              <w:t>26530885</w:t>
            </w:r>
          </w:p>
        </w:tc>
        <w:tc>
          <w:tcPr>
            <w:tcW w:w="976" w:type="dxa"/>
            <w:tcBorders>
              <w:top w:val="double" w:sz="6" w:space="0" w:color="70AD47"/>
              <w:left w:val="nil"/>
              <w:bottom w:val="single" w:sz="4" w:space="0" w:color="A9D08E"/>
              <w:right w:val="nil"/>
            </w:tcBorders>
            <w:shd w:val="clear" w:color="auto" w:fill="auto"/>
            <w:noWrap/>
            <w:vAlign w:val="bottom"/>
            <w:hideMark/>
          </w:tcPr>
          <w:p w14:paraId="12E6E0BD" w14:textId="77777777" w:rsidR="00700B85" w:rsidRPr="00700B85" w:rsidRDefault="00700B85" w:rsidP="00700B85">
            <w:pPr>
              <w:spacing w:after="0" w:line="240" w:lineRule="auto"/>
              <w:jc w:val="right"/>
              <w:rPr>
                <w:rFonts w:ascii="Calibri" w:eastAsia="Times New Roman" w:hAnsi="Calibri" w:cs="Calibri"/>
                <w:b/>
                <w:bCs/>
                <w:color w:val="000000"/>
                <w:kern w:val="0"/>
                <w:lang w:eastAsia="it-IT"/>
                <w14:ligatures w14:val="none"/>
              </w:rPr>
            </w:pPr>
            <w:r w:rsidRPr="00700B85">
              <w:rPr>
                <w:rFonts w:ascii="Calibri" w:eastAsia="Times New Roman" w:hAnsi="Calibri" w:cs="Calibri"/>
                <w:b/>
                <w:bCs/>
                <w:color w:val="000000"/>
                <w:kern w:val="0"/>
                <w:lang w:eastAsia="it-IT"/>
                <w14:ligatures w14:val="none"/>
              </w:rPr>
              <w:t>26112216</w:t>
            </w:r>
          </w:p>
        </w:tc>
        <w:tc>
          <w:tcPr>
            <w:tcW w:w="976" w:type="dxa"/>
            <w:tcBorders>
              <w:top w:val="double" w:sz="6" w:space="0" w:color="70AD47"/>
              <w:left w:val="nil"/>
              <w:bottom w:val="single" w:sz="4" w:space="0" w:color="A9D08E"/>
              <w:right w:val="nil"/>
            </w:tcBorders>
            <w:shd w:val="clear" w:color="auto" w:fill="auto"/>
            <w:noWrap/>
            <w:vAlign w:val="bottom"/>
            <w:hideMark/>
          </w:tcPr>
          <w:p w14:paraId="3E48792B" w14:textId="77777777" w:rsidR="00700B85" w:rsidRPr="00700B85" w:rsidRDefault="00700B85" w:rsidP="00700B85">
            <w:pPr>
              <w:spacing w:after="0" w:line="240" w:lineRule="auto"/>
              <w:jc w:val="right"/>
              <w:rPr>
                <w:rFonts w:ascii="Calibri" w:eastAsia="Times New Roman" w:hAnsi="Calibri" w:cs="Calibri"/>
                <w:b/>
                <w:bCs/>
                <w:color w:val="000000"/>
                <w:kern w:val="0"/>
                <w:lang w:eastAsia="it-IT"/>
                <w14:ligatures w14:val="none"/>
              </w:rPr>
            </w:pPr>
            <w:r w:rsidRPr="00700B85">
              <w:rPr>
                <w:rFonts w:ascii="Calibri" w:eastAsia="Times New Roman" w:hAnsi="Calibri" w:cs="Calibri"/>
                <w:b/>
                <w:bCs/>
                <w:color w:val="000000"/>
                <w:kern w:val="0"/>
                <w:lang w:eastAsia="it-IT"/>
                <w14:ligatures w14:val="none"/>
              </w:rPr>
              <w:t>194064</w:t>
            </w:r>
          </w:p>
        </w:tc>
      </w:tr>
    </w:tbl>
    <w:p w14:paraId="08F0A360" w14:textId="1839D2FE" w:rsidR="00700B85" w:rsidRDefault="00700B85" w:rsidP="00A16105">
      <w:pPr>
        <w:rPr>
          <w:sz w:val="28"/>
          <w:szCs w:val="28"/>
        </w:rPr>
      </w:pPr>
    </w:p>
    <w:p w14:paraId="7D601550" w14:textId="4CDFC078" w:rsidR="00700B85" w:rsidRDefault="00700B85" w:rsidP="00A16105">
      <w:pPr>
        <w:rPr>
          <w:sz w:val="28"/>
          <w:szCs w:val="28"/>
        </w:rPr>
      </w:pPr>
      <w:r>
        <w:rPr>
          <w:sz w:val="28"/>
          <w:szCs w:val="28"/>
        </w:rPr>
        <w:t>Questi dati ci portano a capire che su 26;5 milioni di infetti dal covid oltre 26 milioni sono guariti, portando il covid a non essere considerato come una pandemia ma ad avvicinarsi maggiormente ad una malattia più comune come un influenza.</w:t>
      </w:r>
    </w:p>
    <w:p w14:paraId="6C307EA9" w14:textId="77777777" w:rsidR="00700B85" w:rsidRPr="00A16105" w:rsidRDefault="00700B85" w:rsidP="00A16105">
      <w:pPr>
        <w:rPr>
          <w:sz w:val="28"/>
          <w:szCs w:val="28"/>
        </w:rPr>
      </w:pPr>
    </w:p>
    <w:sectPr w:rsidR="00700B85" w:rsidRPr="00A161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77A"/>
    <w:multiLevelType w:val="hybridMultilevel"/>
    <w:tmpl w:val="426CB1DC"/>
    <w:lvl w:ilvl="0" w:tplc="0410000F">
      <w:start w:val="1"/>
      <w:numFmt w:val="decimal"/>
      <w:lvlText w:val="%1."/>
      <w:lvlJc w:val="left"/>
      <w:pPr>
        <w:ind w:left="3708" w:hanging="360"/>
      </w:pPr>
    </w:lvl>
    <w:lvl w:ilvl="1" w:tplc="04100019" w:tentative="1">
      <w:start w:val="1"/>
      <w:numFmt w:val="lowerLetter"/>
      <w:lvlText w:val="%2."/>
      <w:lvlJc w:val="left"/>
      <w:pPr>
        <w:ind w:left="4428" w:hanging="360"/>
      </w:pPr>
    </w:lvl>
    <w:lvl w:ilvl="2" w:tplc="0410001B" w:tentative="1">
      <w:start w:val="1"/>
      <w:numFmt w:val="lowerRoman"/>
      <w:lvlText w:val="%3."/>
      <w:lvlJc w:val="right"/>
      <w:pPr>
        <w:ind w:left="5148" w:hanging="180"/>
      </w:pPr>
    </w:lvl>
    <w:lvl w:ilvl="3" w:tplc="0410000F" w:tentative="1">
      <w:start w:val="1"/>
      <w:numFmt w:val="decimal"/>
      <w:lvlText w:val="%4."/>
      <w:lvlJc w:val="left"/>
      <w:pPr>
        <w:ind w:left="5868" w:hanging="360"/>
      </w:pPr>
    </w:lvl>
    <w:lvl w:ilvl="4" w:tplc="04100019" w:tentative="1">
      <w:start w:val="1"/>
      <w:numFmt w:val="lowerLetter"/>
      <w:lvlText w:val="%5."/>
      <w:lvlJc w:val="left"/>
      <w:pPr>
        <w:ind w:left="6588" w:hanging="360"/>
      </w:pPr>
    </w:lvl>
    <w:lvl w:ilvl="5" w:tplc="0410001B" w:tentative="1">
      <w:start w:val="1"/>
      <w:numFmt w:val="lowerRoman"/>
      <w:lvlText w:val="%6."/>
      <w:lvlJc w:val="right"/>
      <w:pPr>
        <w:ind w:left="7308" w:hanging="180"/>
      </w:pPr>
    </w:lvl>
    <w:lvl w:ilvl="6" w:tplc="0410000F" w:tentative="1">
      <w:start w:val="1"/>
      <w:numFmt w:val="decimal"/>
      <w:lvlText w:val="%7."/>
      <w:lvlJc w:val="left"/>
      <w:pPr>
        <w:ind w:left="8028" w:hanging="360"/>
      </w:pPr>
    </w:lvl>
    <w:lvl w:ilvl="7" w:tplc="04100019" w:tentative="1">
      <w:start w:val="1"/>
      <w:numFmt w:val="lowerLetter"/>
      <w:lvlText w:val="%8."/>
      <w:lvlJc w:val="left"/>
      <w:pPr>
        <w:ind w:left="8748" w:hanging="360"/>
      </w:pPr>
    </w:lvl>
    <w:lvl w:ilvl="8" w:tplc="0410001B" w:tentative="1">
      <w:start w:val="1"/>
      <w:numFmt w:val="lowerRoman"/>
      <w:lvlText w:val="%9."/>
      <w:lvlJc w:val="right"/>
      <w:pPr>
        <w:ind w:left="9468" w:hanging="180"/>
      </w:pPr>
    </w:lvl>
  </w:abstractNum>
  <w:abstractNum w:abstractNumId="1" w15:restartNumberingAfterBreak="0">
    <w:nsid w:val="239E1051"/>
    <w:multiLevelType w:val="hybridMultilevel"/>
    <w:tmpl w:val="08B2DE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562908"/>
    <w:multiLevelType w:val="hybridMultilevel"/>
    <w:tmpl w:val="8E1413E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F7"/>
    <w:rsid w:val="000441F7"/>
    <w:rsid w:val="004E789C"/>
    <w:rsid w:val="00700B85"/>
    <w:rsid w:val="007C032B"/>
    <w:rsid w:val="00953893"/>
    <w:rsid w:val="00A16105"/>
    <w:rsid w:val="00BE497B"/>
    <w:rsid w:val="00C11EB4"/>
    <w:rsid w:val="00D24A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1392"/>
  <w15:chartTrackingRefBased/>
  <w15:docId w15:val="{B30D68F1-36C2-43C0-BF33-82C9470B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3373">
      <w:bodyDiv w:val="1"/>
      <w:marLeft w:val="0"/>
      <w:marRight w:val="0"/>
      <w:marTop w:val="0"/>
      <w:marBottom w:val="0"/>
      <w:divBdr>
        <w:top w:val="none" w:sz="0" w:space="0" w:color="auto"/>
        <w:left w:val="none" w:sz="0" w:space="0" w:color="auto"/>
        <w:bottom w:val="none" w:sz="0" w:space="0" w:color="auto"/>
        <w:right w:val="none" w:sz="0" w:space="0" w:color="auto"/>
      </w:divBdr>
    </w:div>
    <w:div w:id="130331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olo\OneDrive\Desktop\Data%20Analyst%20IFOA\Modulo%201%20IFOA\Week%202\S2_L5%20Progetto\Misurazioni%20utili%20ad%20un%20analisi%20da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olo\OneDrive\Desktop\Data%20Analyst%20IFOA\Modulo%201%20IFOA\Week%202\S2_L5%20Progetto\Misurazioni%20utili%20ad%20un%20analisi%20dati.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paolo\OneDrive\Desktop\Data%20Analyst%20IFOA\Modulo%201%20IFOA\Week%202\S2_L5%20Progetto\Misurazioni%20utili%20ad%20un%20analisi%20dati.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paolo\OneDrive\Desktop\Data%20Analyst%20IFOA\Modulo%201%20IFOA\Week%202\S2_L5%20Progetto\Misurazioni%20utili%20ad%20un%20analisi%20dat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Analisi casi per regione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'CASI COVID PER REGIONE '!$C$1</c:f>
              <c:strCache>
                <c:ptCount val="1"/>
                <c:pt idx="0">
                  <c:v>Totale</c:v>
                </c:pt>
              </c:strCache>
            </c:strRef>
          </c:tx>
          <c:spPr>
            <a:solidFill>
              <a:schemeClr val="accent1"/>
            </a:solidFill>
            <a:ln>
              <a:noFill/>
            </a:ln>
            <a:effectLst/>
          </c:spPr>
          <c:invertIfNegative val="0"/>
          <c:cat>
            <c:strRef>
              <c:f>'CASI COVID PER REGIONE '!$B$2:$B$22</c:f>
              <c:strCache>
                <c:ptCount val="20"/>
                <c:pt idx="0">
                  <c:v>Piemonte</c:v>
                </c:pt>
                <c:pt idx="1">
                  <c:v>Valle d'Aosta/Vallée d'Aoste</c:v>
                </c:pt>
                <c:pt idx="2">
                  <c:v>Lombardia</c:v>
                </c:pt>
                <c:pt idx="3">
                  <c:v>Trentino-Alto Adige/Südtirol</c:v>
                </c:pt>
                <c:pt idx="4">
                  <c:v>Veneto</c:v>
                </c:pt>
                <c:pt idx="5">
                  <c:v>Friuli-Venezia Giulia</c:v>
                </c:pt>
                <c:pt idx="6">
                  <c:v>Liguria</c:v>
                </c:pt>
                <c:pt idx="7">
                  <c:v>Emilia-Romagna</c:v>
                </c:pt>
                <c:pt idx="8">
                  <c:v>Toscana</c:v>
                </c:pt>
                <c:pt idx="9">
                  <c:v>Umbria</c:v>
                </c:pt>
                <c:pt idx="10">
                  <c:v>Marche</c:v>
                </c:pt>
                <c:pt idx="11">
                  <c:v>Lazio</c:v>
                </c:pt>
                <c:pt idx="12">
                  <c:v>Abruzzo</c:v>
                </c:pt>
                <c:pt idx="13">
                  <c:v>Molise</c:v>
                </c:pt>
                <c:pt idx="14">
                  <c:v>Campania</c:v>
                </c:pt>
                <c:pt idx="15">
                  <c:v>Puglia</c:v>
                </c:pt>
                <c:pt idx="16">
                  <c:v>Basilicata</c:v>
                </c:pt>
                <c:pt idx="17">
                  <c:v>Calabria</c:v>
                </c:pt>
                <c:pt idx="18">
                  <c:v>Sicilia</c:v>
                </c:pt>
                <c:pt idx="19">
                  <c:v>Sardegna</c:v>
                </c:pt>
              </c:strCache>
            </c:strRef>
          </c:cat>
          <c:val>
            <c:numRef>
              <c:f>'CASI COVID PER REGIONE '!$C$2:$C$22</c:f>
              <c:numCache>
                <c:formatCode>General</c:formatCode>
                <c:ptCount val="20"/>
                <c:pt idx="0">
                  <c:v>1792955</c:v>
                </c:pt>
                <c:pt idx="1">
                  <c:v>52226</c:v>
                </c:pt>
                <c:pt idx="2">
                  <c:v>4308126</c:v>
                </c:pt>
                <c:pt idx="3">
                  <c:v>552594</c:v>
                </c:pt>
                <c:pt idx="4">
                  <c:v>2821154</c:v>
                </c:pt>
                <c:pt idx="5">
                  <c:v>595007</c:v>
                </c:pt>
                <c:pt idx="6">
                  <c:v>685198</c:v>
                </c:pt>
                <c:pt idx="7">
                  <c:v>2199848</c:v>
                </c:pt>
                <c:pt idx="8">
                  <c:v>1642975</c:v>
                </c:pt>
                <c:pt idx="9">
                  <c:v>455875</c:v>
                </c:pt>
                <c:pt idx="10">
                  <c:v>732570</c:v>
                </c:pt>
                <c:pt idx="11">
                  <c:v>2498960</c:v>
                </c:pt>
                <c:pt idx="12">
                  <c:v>681425</c:v>
                </c:pt>
                <c:pt idx="13">
                  <c:v>104688</c:v>
                </c:pt>
                <c:pt idx="14">
                  <c:v>2524670</c:v>
                </c:pt>
                <c:pt idx="15">
                  <c:v>1671467</c:v>
                </c:pt>
                <c:pt idx="16">
                  <c:v>201997</c:v>
                </c:pt>
                <c:pt idx="17">
                  <c:v>650481</c:v>
                </c:pt>
                <c:pt idx="18">
                  <c:v>1833392</c:v>
                </c:pt>
                <c:pt idx="19">
                  <c:v>525277</c:v>
                </c:pt>
              </c:numCache>
            </c:numRef>
          </c:val>
          <c:extLst>
            <c:ext xmlns:c16="http://schemas.microsoft.com/office/drawing/2014/chart" uri="{C3380CC4-5D6E-409C-BE32-E72D297353CC}">
              <c16:uniqueId val="{00000000-51BE-463E-8ECE-69305FBF915E}"/>
            </c:ext>
          </c:extLst>
        </c:ser>
        <c:dLbls>
          <c:showLegendKey val="0"/>
          <c:showVal val="0"/>
          <c:showCatName val="0"/>
          <c:showSerName val="0"/>
          <c:showPercent val="0"/>
          <c:showBubbleSize val="0"/>
        </c:dLbls>
        <c:gapWidth val="219"/>
        <c:overlap val="-27"/>
        <c:axId val="2029279199"/>
        <c:axId val="2029284191"/>
      </c:barChart>
      <c:catAx>
        <c:axId val="202927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29284191"/>
        <c:crosses val="autoZero"/>
        <c:auto val="1"/>
        <c:lblAlgn val="ctr"/>
        <c:lblOffset val="100"/>
        <c:noMultiLvlLbl val="0"/>
      </c:catAx>
      <c:valAx>
        <c:axId val="2029284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292791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0.14934623396701036"/>
          <c:y val="0.16719944405837389"/>
          <c:w val="0.78853507496255149"/>
          <c:h val="0.72069368674294454"/>
        </c:manualLayout>
      </c:layout>
      <c:barChart>
        <c:barDir val="bar"/>
        <c:grouping val="clustered"/>
        <c:varyColors val="0"/>
        <c:ser>
          <c:idx val="0"/>
          <c:order val="0"/>
          <c:tx>
            <c:strRef>
              <c:f>'CASI COVID PER REGIONE '!$E$1</c:f>
              <c:strCache>
                <c:ptCount val="1"/>
                <c:pt idx="0">
                  <c:v>Deceduti</c:v>
                </c:pt>
              </c:strCache>
            </c:strRef>
          </c:tx>
          <c:spPr>
            <a:solidFill>
              <a:schemeClr val="accent1"/>
            </a:solidFill>
            <a:ln>
              <a:noFill/>
            </a:ln>
            <a:effectLst/>
          </c:spPr>
          <c:invertIfNegative val="0"/>
          <c:cat>
            <c:strRef>
              <c:f>'CASI COVID PER REGIONE '!$B$2:$B$21</c:f>
              <c:strCache>
                <c:ptCount val="20"/>
                <c:pt idx="0">
                  <c:v>Piemonte</c:v>
                </c:pt>
                <c:pt idx="1">
                  <c:v>Valle d'Aosta/Vallée d'Aoste</c:v>
                </c:pt>
                <c:pt idx="2">
                  <c:v>Lombardia</c:v>
                </c:pt>
                <c:pt idx="3">
                  <c:v>Trentino-Alto Adige/Südtirol</c:v>
                </c:pt>
                <c:pt idx="4">
                  <c:v>Veneto</c:v>
                </c:pt>
                <c:pt idx="5">
                  <c:v>Friuli-Venezia Giulia</c:v>
                </c:pt>
                <c:pt idx="6">
                  <c:v>Liguria</c:v>
                </c:pt>
                <c:pt idx="7">
                  <c:v>Emilia-Romagna</c:v>
                </c:pt>
                <c:pt idx="8">
                  <c:v>Toscana</c:v>
                </c:pt>
                <c:pt idx="9">
                  <c:v>Umbria</c:v>
                </c:pt>
                <c:pt idx="10">
                  <c:v>Marche</c:v>
                </c:pt>
                <c:pt idx="11">
                  <c:v>Lazio</c:v>
                </c:pt>
                <c:pt idx="12">
                  <c:v>Abruzzo</c:v>
                </c:pt>
                <c:pt idx="13">
                  <c:v>Molise</c:v>
                </c:pt>
                <c:pt idx="14">
                  <c:v>Campania</c:v>
                </c:pt>
                <c:pt idx="15">
                  <c:v>Puglia</c:v>
                </c:pt>
                <c:pt idx="16">
                  <c:v>Basilicata</c:v>
                </c:pt>
                <c:pt idx="17">
                  <c:v>Calabria</c:v>
                </c:pt>
                <c:pt idx="18">
                  <c:v>Sicilia</c:v>
                </c:pt>
                <c:pt idx="19">
                  <c:v>Sardegna</c:v>
                </c:pt>
              </c:strCache>
            </c:strRef>
          </c:cat>
          <c:val>
            <c:numRef>
              <c:f>'CASI COVID PER REGIONE '!$E$2:$E$21</c:f>
              <c:numCache>
                <c:formatCode>General</c:formatCode>
                <c:ptCount val="20"/>
                <c:pt idx="0">
                  <c:v>13899</c:v>
                </c:pt>
                <c:pt idx="1">
                  <c:v>579</c:v>
                </c:pt>
                <c:pt idx="2">
                  <c:v>47031</c:v>
                </c:pt>
                <c:pt idx="3">
                  <c:v>3318</c:v>
                </c:pt>
                <c:pt idx="4">
                  <c:v>17224</c:v>
                </c:pt>
                <c:pt idx="5">
                  <c:v>6347</c:v>
                </c:pt>
                <c:pt idx="6">
                  <c:v>6000</c:v>
                </c:pt>
                <c:pt idx="7">
                  <c:v>19859</c:v>
                </c:pt>
                <c:pt idx="8">
                  <c:v>12293</c:v>
                </c:pt>
                <c:pt idx="9">
                  <c:v>2519</c:v>
                </c:pt>
                <c:pt idx="10">
                  <c:v>4504</c:v>
                </c:pt>
                <c:pt idx="11">
                  <c:v>13122</c:v>
                </c:pt>
                <c:pt idx="12">
                  <c:v>4041</c:v>
                </c:pt>
                <c:pt idx="13">
                  <c:v>778</c:v>
                </c:pt>
                <c:pt idx="14">
                  <c:v>12061</c:v>
                </c:pt>
                <c:pt idx="15">
                  <c:v>9926</c:v>
                </c:pt>
                <c:pt idx="16">
                  <c:v>1048</c:v>
                </c:pt>
                <c:pt idx="17">
                  <c:v>3596</c:v>
                </c:pt>
                <c:pt idx="18">
                  <c:v>12944</c:v>
                </c:pt>
                <c:pt idx="19">
                  <c:v>2975</c:v>
                </c:pt>
              </c:numCache>
            </c:numRef>
          </c:val>
          <c:extLst>
            <c:ext xmlns:c16="http://schemas.microsoft.com/office/drawing/2014/chart" uri="{C3380CC4-5D6E-409C-BE32-E72D297353CC}">
              <c16:uniqueId val="{00000000-CE77-4733-B2A1-11A223A34956}"/>
            </c:ext>
          </c:extLst>
        </c:ser>
        <c:dLbls>
          <c:showLegendKey val="0"/>
          <c:showVal val="0"/>
          <c:showCatName val="0"/>
          <c:showSerName val="0"/>
          <c:showPercent val="0"/>
          <c:showBubbleSize val="0"/>
        </c:dLbls>
        <c:gapWidth val="182"/>
        <c:axId val="282695183"/>
        <c:axId val="282694767"/>
      </c:barChart>
      <c:catAx>
        <c:axId val="2826951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82694767"/>
        <c:crosses val="autoZero"/>
        <c:auto val="1"/>
        <c:lblAlgn val="ctr"/>
        <c:lblOffset val="100"/>
        <c:noMultiLvlLbl val="0"/>
      </c:catAx>
      <c:valAx>
        <c:axId val="282694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826951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'CASI COVID PER REGIONE '!$A$2:$A$21</cx:f>
        <cx:lvl ptCount="20">
          <cx:pt idx="0">Nord-ovest</cx:pt>
          <cx:pt idx="1">Nord-ovest</cx:pt>
          <cx:pt idx="2">Nord-ovest</cx:pt>
          <cx:pt idx="3">Nord-est</cx:pt>
          <cx:pt idx="4">Nord-est</cx:pt>
          <cx:pt idx="5">Nord-est</cx:pt>
          <cx:pt idx="6">Nord-ovest</cx:pt>
          <cx:pt idx="7">Nord-est</cx:pt>
          <cx:pt idx="8">Centro</cx:pt>
          <cx:pt idx="9">Centro</cx:pt>
          <cx:pt idx="10">Centro</cx:pt>
          <cx:pt idx="11">Centro</cx:pt>
          <cx:pt idx="12">Sud</cx:pt>
          <cx:pt idx="13">Sud</cx:pt>
          <cx:pt idx="14">Sud</cx:pt>
          <cx:pt idx="15">Sud</cx:pt>
          <cx:pt idx="16">Sud</cx:pt>
          <cx:pt idx="17">Sud</cx:pt>
          <cx:pt idx="18">Isole</cx:pt>
          <cx:pt idx="19">Isole</cx:pt>
        </cx:lvl>
      </cx:strDim>
      <cx:numDim type="val">
        <cx:f>'CASI COVID PER REGIONE '!$E$2:$E$21</cx:f>
        <cx:lvl ptCount="20" formatCode="Standard">
          <cx:pt idx="0">13899</cx:pt>
          <cx:pt idx="1">579</cx:pt>
          <cx:pt idx="2">47031</cx:pt>
          <cx:pt idx="3">3318</cx:pt>
          <cx:pt idx="4">17224</cx:pt>
          <cx:pt idx="5">6347</cx:pt>
          <cx:pt idx="6">6000</cx:pt>
          <cx:pt idx="7">19859</cx:pt>
          <cx:pt idx="8">12293</cx:pt>
          <cx:pt idx="9">2519</cx:pt>
          <cx:pt idx="10">4504</cx:pt>
          <cx:pt idx="11">13122</cx:pt>
          <cx:pt idx="12">4041</cx:pt>
          <cx:pt idx="13">778</cx:pt>
          <cx:pt idx="14">12061</cx:pt>
          <cx:pt idx="15">9926</cx:pt>
          <cx:pt idx="16">1048</cx:pt>
          <cx:pt idx="17">3596</cx:pt>
          <cx:pt idx="18">12944</cx:pt>
          <cx:pt idx="19">2975</cx:pt>
        </cx:lvl>
      </cx:numDim>
    </cx:data>
  </cx:chartData>
  <cx:chart>
    <cx:title pos="t" align="ctr" overlay="0">
      <cx:tx>
        <cx:rich>
          <a:bodyPr spcFirstLastPara="1" vertOverflow="ellipsis" horzOverflow="overflow" wrap="square" lIns="0" tIns="0" rIns="0" bIns="0" anchor="ctr" anchorCtr="1"/>
          <a:lstStyle/>
          <a:p>
            <a:pPr algn="ctr" rtl="0">
              <a:defRPr/>
            </a:pPr>
            <a:r>
              <a:rPr lang="it-IT" sz="1400" b="0" i="0" u="none" strike="noStrike" baseline="0">
                <a:solidFill>
                  <a:sysClr val="windowText" lastClr="000000">
                    <a:lumMod val="65000"/>
                    <a:lumOff val="35000"/>
                  </a:sysClr>
                </a:solidFill>
                <a:latin typeface="Calibri" panose="020F0502020204030204"/>
              </a:rPr>
              <a:t>Aree con maggiore mortalità</a:t>
            </a:r>
          </a:p>
          <a:p>
            <a:pPr algn="ctr" rtl="0">
              <a:defRPr/>
            </a:pPr>
            <a:endParaRPr lang="it-IT" sz="1400" b="0" i="0" u="none" strike="noStrike" baseline="0">
              <a:solidFill>
                <a:sysClr val="windowText" lastClr="000000">
                  <a:lumMod val="65000"/>
                  <a:lumOff val="35000"/>
                </a:sysClr>
              </a:solidFill>
              <a:latin typeface="Calibri" panose="020F0502020204030204"/>
            </a:endParaRPr>
          </a:p>
        </cx:rich>
      </cx:tx>
    </cx:title>
    <cx:plotArea>
      <cx:plotAreaRegion>
        <cx:series layoutId="clusteredColumn" uniqueId="{A253B4DB-E636-496E-88A9-066D8C028F5C}">
          <cx:tx>
            <cx:txData>
              <cx:f>'CASI COVID PER REGIONE '!$E$1</cx:f>
              <cx:v>Deceduti</cx:v>
            </cx:txData>
          </cx:tx>
          <cx:dataId val="0"/>
          <cx:layoutPr>
            <cx:aggregation/>
          </cx:layoutPr>
          <cx:axisId val="1"/>
        </cx:series>
        <cx:series layoutId="paretoLine" ownerIdx="0" uniqueId="{1E44E8A7-9D0F-4E16-877C-F2A8DB1059C1}">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'CASI COVID PER REGIONE '!$A$2:$A$21</cx:f>
        <cx:lvl ptCount="20">
          <cx:pt idx="0">Nord-ovest</cx:pt>
          <cx:pt idx="1">Nord-ovest</cx:pt>
          <cx:pt idx="2">Nord-ovest</cx:pt>
          <cx:pt idx="3">Nord-est</cx:pt>
          <cx:pt idx="4">Nord-est</cx:pt>
          <cx:pt idx="5">Nord-est</cx:pt>
          <cx:pt idx="6">Nord-ovest</cx:pt>
          <cx:pt idx="7">Nord-est</cx:pt>
          <cx:pt idx="8">Centro</cx:pt>
          <cx:pt idx="9">Centro</cx:pt>
          <cx:pt idx="10">Centro</cx:pt>
          <cx:pt idx="11">Centro</cx:pt>
          <cx:pt idx="12">Sud</cx:pt>
          <cx:pt idx="13">Sud</cx:pt>
          <cx:pt idx="14">Sud</cx:pt>
          <cx:pt idx="15">Sud</cx:pt>
          <cx:pt idx="16">Sud</cx:pt>
          <cx:pt idx="17">Sud</cx:pt>
          <cx:pt idx="18">Isole</cx:pt>
          <cx:pt idx="19">Isole</cx:pt>
        </cx:lvl>
      </cx:strDim>
      <cx:numDim type="val">
        <cx:f>'CASI COVID PER REGIONE '!$D$2:$D$21</cx:f>
        <cx:lvl ptCount="20" formatCode="Standard">
          <cx:pt idx="0">1725727</cx:pt>
          <cx:pt idx="1">51554</cx:pt>
          <cx:pt idx="2">4242764</cx:pt>
          <cx:pt idx="3">548473</cx:pt>
          <cx:pt idx="4">2790105</cx:pt>
          <cx:pt idx="5">587125</cx:pt>
          <cx:pt idx="6">678840</cx:pt>
          <cx:pt idx="7">2170571</cx:pt>
          <cx:pt idx="8">1625600</cx:pt>
          <cx:pt idx="9">450837</cx:pt>
          <cx:pt idx="10">727781</cx:pt>
          <cx:pt idx="11">2438883</cx:pt>
          <cx:pt idx="12">668758</cx:pt>
          <cx:pt idx="13">102635</cx:pt>
          <cx:pt idx="14">2482123</cx:pt>
          <cx:pt idx="15">1653592</cx:pt>
          <cx:pt idx="16">191479</cx:pt>
          <cx:pt idx="17">643757</cx:pt>
          <cx:pt idx="18">1818423</cx:pt>
          <cx:pt idx="19">513189</cx:pt>
        </cx:lvl>
      </cx:numDim>
    </cx:data>
  </cx:chartData>
  <cx:chart>
    <cx:title pos="t" align="ctr" overlay="0">
      <cx:tx>
        <cx:txData>
          <cx:v>Tasso di guarigione </cx:v>
        </cx:txData>
      </cx:tx>
      <cx:txPr>
        <a:bodyPr spcFirstLastPara="1" vertOverflow="ellipsis" horzOverflow="overflow" wrap="square" lIns="0" tIns="0" rIns="0" bIns="0" anchor="ctr" anchorCtr="1"/>
        <a:lstStyle/>
        <a:p>
          <a:pPr algn="ctr" rtl="0">
            <a:defRPr/>
          </a:pPr>
          <a:r>
            <a:rPr lang="it-IT" sz="1400" b="0" i="0" u="none" strike="noStrike" baseline="0">
              <a:solidFill>
                <a:sysClr val="windowText" lastClr="000000">
                  <a:lumMod val="65000"/>
                  <a:lumOff val="35000"/>
                </a:sysClr>
              </a:solidFill>
              <a:latin typeface="Calibri" panose="020F0502020204030204"/>
            </a:rPr>
            <a:t>Tasso di guarigione </a:t>
          </a:r>
        </a:p>
      </cx:txPr>
    </cx:title>
    <cx:plotArea>
      <cx:plotAreaRegion>
        <cx:series layoutId="clusteredColumn" uniqueId="{4CA3DCB3-7E34-4490-911F-9D00FB2D0D1E}">
          <cx:tx>
            <cx:txData>
              <cx:f>'CASI COVID PER REGIONE '!$D$1</cx:f>
              <cx:v>Guariti</cx:v>
            </cx:txData>
          </cx:tx>
          <cx:dataId val="0"/>
          <cx:layoutPr>
            <cx:aggregation/>
          </cx:layoutPr>
          <cx:axisId val="1"/>
        </cx:series>
        <cx:series layoutId="paretoLine" ownerIdx="0" uniqueId="{17A9925A-6507-463E-A392-E0CC0447C211}">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457</Words>
  <Characters>2605</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Cancemi</dc:creator>
  <cp:keywords/>
  <dc:description/>
  <cp:lastModifiedBy>Paolo Cancemi</cp:lastModifiedBy>
  <cp:revision>3</cp:revision>
  <dcterms:created xsi:type="dcterms:W3CDTF">2023-12-18T15:28:00Z</dcterms:created>
  <dcterms:modified xsi:type="dcterms:W3CDTF">2023-12-18T16:29:00Z</dcterms:modified>
</cp:coreProperties>
</file>