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</w:rPr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0"/>
          <w:color w:val="001447"/>
        </w:rPr>
      </w:pPr>
      <w:bookmarkStart w:colFirst="0" w:colLast="0" w:name="_heading=h.30j0zll" w:id="0"/>
      <w:bookmarkEnd w:id="0"/>
      <w:r w:rsidDel="00000000" w:rsidR="00000000" w:rsidRPr="00000000">
        <w:rPr>
          <w:color w:val="001447"/>
          <w:rtl w:val="0"/>
        </w:rPr>
        <w:t xml:space="preserve">Business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695"/>
        <w:gridCol w:w="7110"/>
        <w:tblGridChange w:id="0">
          <w:tblGrid>
            <w:gridCol w:w="1695"/>
            <w:gridCol w:w="7110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/>
            </w:pPr>
            <w:r w:rsidDel="00000000" w:rsidR="00000000" w:rsidRPr="00000000">
              <w:rPr>
                <w:color w:val="1d2125"/>
                <w:rtl w:val="0"/>
              </w:rPr>
              <w:t xml:space="preserve">C07_BC_ver.1.0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28/12/2024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F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778.1677246093749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1"/>
      <w:bookmarkEnd w:id="1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310"/>
        <w:gridCol w:w="2805"/>
        <w:gridCol w:w="1980"/>
        <w:tblGridChange w:id="0">
          <w:tblGrid>
            <w:gridCol w:w="1935"/>
            <w:gridCol w:w="2310"/>
            <w:gridCol w:w="2805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/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15/10/2024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17/10/2024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Financial analysis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Financial Analysis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analisi finanziaria per aggiungere il budget per la gestione dei rischi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ylux10557zf2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40"/>
            <w:gridCol w:w="1995"/>
            <w:gridCol w:w="3780"/>
            <w:tblGridChange w:id="0">
              <w:tblGrid>
                <w:gridCol w:w="3240"/>
                <w:gridCol w:w="1995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PCV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p.valletta2@studenti.unisa.it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AZ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a.zoccola2@studenti.unisa.it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left"/>
        <w:rPr>
          <w:sz w:val="44"/>
          <w:szCs w:val="44"/>
        </w:rPr>
      </w:pPr>
      <w:bookmarkStart w:colFirst="0" w:colLast="0" w:name="_heading=h.d6jj5nlyddoe" w:id="3"/>
      <w:bookmarkEnd w:id="3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Summary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562gugl2w6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ylux10557zf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Project Manager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d6jj5nlyddo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Summary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1 - Introduction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2 - Business goal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7393z03rhwu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3 - Current situation and Problem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njc640bvnkf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4 - Critical assumptions and Constraints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g9a8l5oab2k4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5 - Analysis of Options and recommendation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lz92rc9a0u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6 - Preliminary project requirement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8w23wvluk35d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7 - Budget estimate and financial analysis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ulymf3jis3qc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8 - Schedule estimate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ep7kj41c0in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9 - Potential Risk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d8j08ph8650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10 - Exhibits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1t3h5sf" w:id="4"/>
      <w:bookmarkEnd w:id="4"/>
      <w:r w:rsidDel="00000000" w:rsidR="00000000" w:rsidRPr="00000000">
        <w:rPr>
          <w:color w:val="001447"/>
          <w:sz w:val="44"/>
          <w:szCs w:val="44"/>
          <w:rtl w:val="0"/>
        </w:rPr>
        <w:t xml:space="preserve">1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Introduction</w:t>
      </w:r>
    </w:p>
    <w:p w:rsidR="00000000" w:rsidDel="00000000" w:rsidP="00000000" w:rsidRDefault="00000000" w:rsidRPr="00000000" w14:paraId="00000047">
      <w:pPr>
        <w:spacing w:after="200" w:lineRule="auto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Il Ministero della Salute intende sviluppare una piattaforma digitale che fornisca supporto psicologico e strumenti educativi per bambini con difficoltà psichiatriche, utilizzando l’arte e la cultura come leve per migliorare il benessere e l’integrazione sociale. La piattaforma sarà implementata in collaborazione con scuole e ospedali pediatrici e integrata nelle politiche di salute mentale nazionali.</w:t>
      </w:r>
    </w:p>
    <w:p w:rsidR="00000000" w:rsidDel="00000000" w:rsidP="00000000" w:rsidRDefault="00000000" w:rsidRPr="00000000" w14:paraId="00000048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4d34og8" w:id="5"/>
      <w:bookmarkEnd w:id="5"/>
      <w:r w:rsidDel="00000000" w:rsidR="00000000" w:rsidRPr="00000000">
        <w:rPr>
          <w:color w:val="001447"/>
          <w:sz w:val="44"/>
          <w:szCs w:val="44"/>
          <w:rtl w:val="0"/>
        </w:rPr>
        <w:t xml:space="preserve">2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Business goal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Gli obiettivi del progetto mirano a migliorare il benessere psicologico dei bambini con disturbi psichiatrici e a promuovere l’uso delle tecnologie digitali e immersive per facilitare l’integrazione sociale. Uno degli obiettivi principali è coinvolgere i bambini nel processo di apprendimento e terapia, riducendo i tempi di intervento per psicologi ed educatori grazie alla digitalizzazione e ottimizzazione del monitoraggio terapeutico. 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Il progetto mira ad una standardizzazione della piattaforma in tutti gli ospedali pediatrici italiani e studi terapeutici e ad una maggiore trasparenza attraverso il tracciamento delle attività e la visualizzazione dei progressi tramite un sistema di reportistica. MindArt punta a: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Aumentare il benessere emotivo dei bambini con disturbi psichiatrici del 30% entro il secondo anno di operatività, grazie all’integrazione di strumenti educativi e di supporto psicologico interattivi;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Ridurre del 20% i tempi necessari per la personalizzazione dei percorsi terapeutici da parte degli psicologi, grazie a moduli di monitoraggio e tracciamento delle attività.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Diminuire del 15% il tempo medio impiegato dagli educatori per la gestione delle attività artistiche e dei progressi dei bambini, grazie all’automatizzazione dei report e alla dashboard di monitoraggio.</w:t>
      </w:r>
    </w:p>
    <w:p w:rsidR="00000000" w:rsidDel="00000000" w:rsidP="00000000" w:rsidRDefault="00000000" w:rsidRPr="00000000" w14:paraId="0000004E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7393z03rhwut" w:id="6"/>
      <w:bookmarkEnd w:id="6"/>
      <w:r w:rsidDel="00000000" w:rsidR="00000000" w:rsidRPr="00000000">
        <w:rPr>
          <w:color w:val="001447"/>
          <w:sz w:val="44"/>
          <w:szCs w:val="44"/>
          <w:rtl w:val="0"/>
        </w:rPr>
        <w:t xml:space="preserve">3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Current situation and Problem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Nel panorama digitale attuale, esistono diverse piattaforme che offrono soluzioni specifiche per la gestione dei bambini e il miglioramento del loro benessere mentale, sebbene con funzionalità diverse rispetto a quelle del nostro progetto. Tra i sistemi esistenti troviamo Tux Paint e Smiling Mind. Queste piattaforme permettono ai bambini di disegnare, ma lo fanno principalmente a scopo ricreativo, oppure offrono supporto al benessere mentale utilizzando approcci diversi dall’arte.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La nostra proposta, invece, mira a integrare questi elementi, creando una piattaforma che non solo incoraggia la creatività attraverso il disegno, ma fornisce anche un supporto terapeutico strutturato per i bambini e uno strumento gestionale per i tutor, migliorando così la qualità degli incontri e il monitoraggio dei progressi.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njc640bvnkf6" w:id="7"/>
      <w:bookmarkEnd w:id="7"/>
      <w:r w:rsidDel="00000000" w:rsidR="00000000" w:rsidRPr="00000000">
        <w:rPr>
          <w:color w:val="001447"/>
          <w:sz w:val="44"/>
          <w:szCs w:val="44"/>
          <w:rtl w:val="0"/>
        </w:rPr>
        <w:t xml:space="preserve">4 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- Critical assumptions and Constraints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bambini e gli psicologi devono essere disposti a utilizzare regolarmente la piattaforma per massimizzare i benefici terapeutici e educativi offerti.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essenziale il rispetto delle normative sulla protezione dei dati, per garantire la tutela della privacy degli  utenti coinvolti.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presume che tutti gli psicologi dei bambini abbiano accesso a dispositivi digitali (computer o tablet) e a una connessione Internet stabile per utilizzare la piattaforma in modo efficiente.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psicologi devono impegnarsi attivamente a utilizzare la piattaforma, monitorando i progressi dei bambini e personalizzando i percorsi terapeutici. Un uso limitato o passivo della piattaforma potrebbe ridurre l’efficacia terapeutica e la partecipazione dei bambini.</w:t>
      </w:r>
    </w:p>
    <w:p w:rsidR="00000000" w:rsidDel="00000000" w:rsidP="00000000" w:rsidRDefault="00000000" w:rsidRPr="00000000" w14:paraId="00000056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g9a8l5oab2k4" w:id="8"/>
      <w:bookmarkEnd w:id="8"/>
      <w:r w:rsidDel="00000000" w:rsidR="00000000" w:rsidRPr="00000000">
        <w:rPr>
          <w:color w:val="001447"/>
          <w:sz w:val="44"/>
          <w:szCs w:val="44"/>
          <w:rtl w:val="0"/>
        </w:rPr>
        <w:t xml:space="preserve">5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Analysis of Options and recommendation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Ci sono diverse opzioni per affrontare il supporto terapeutico e il miglioramento del benessere dei bambini con disturbi psichiatrici tramite l’uso di tecnologie digitali: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Lasciare tutto invariato e continuare a utilizzare metodi terapeutici tradizionali con supporto digitale limitato, come app di disegno o strumenti educativi generici. Tuttavia, queste soluzioni presentano alcuni svantaggi, tra cui la mancanza di funzionalità integrate per il monitoraggio terapeutico e l’assenza di un ambiente collaborativo che faciliti l’interazione tra bambini e professionisti. Inoltre, molte di queste piattaforme non sono progettate specificamente per bambini con difficoltà psichiatriche, riducendo l’efficacia del trattamento.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Sviluppare </w:t>
      </w:r>
      <w:r w:rsidDel="00000000" w:rsidR="00000000" w:rsidRPr="00000000">
        <w:rPr>
          <w:b w:val="1"/>
          <w:rtl w:val="0"/>
        </w:rPr>
        <w:t xml:space="preserve">MindArt</w:t>
      </w:r>
      <w:r w:rsidDel="00000000" w:rsidR="00000000" w:rsidRPr="00000000">
        <w:rPr>
          <w:rtl w:val="0"/>
        </w:rPr>
        <w:t xml:space="preserve"> una piattaforma unificata e personalizzata, che integri sia strumenti creativi che moduli di monitoraggio terapeutico, rappresenta l’opzione preferibile per una soluzione a lungo termine. Questo approccio consentirebbe una gestione centralizzata dei progressi terapeutici, faciliterebbe la collaborazione tra bambini e i loro psicologi, e offrirebbe un ambiente sicuro e strutturato per il supporto. La piattaforma proposta non solo risolverebbe le carenze delle soluzioni esistenti, ma introdurrebbe anche funzionalità innovative per migliorare il benessere emotivo e sociale dei bambini.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Dopo una valutazione preliminare dei costi e una consultazione con gli stakeholder, la seconda opzione emerge come la scelta ottimale e altamente vantaggiosa.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6lz92rc9a0u6" w:id="9"/>
      <w:bookmarkEnd w:id="9"/>
      <w:r w:rsidDel="00000000" w:rsidR="00000000" w:rsidRPr="00000000">
        <w:rPr>
          <w:color w:val="001447"/>
          <w:sz w:val="44"/>
          <w:szCs w:val="44"/>
          <w:rtl w:val="0"/>
        </w:rPr>
        <w:t xml:space="preserve">6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Preliminary project requirement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Come indicato in precedenza, l’obiettivo principale del progetto è fornire una piattaforma completa di supporto per bambini con difficoltà psichiatriche, facilitando il lavoro degli psicologi nella loro gestione e nell’organizzazione del proprio materiale educativo. Le principali funzionalità che il sistema deve includere sono: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Permettere ad un Tutor di registrarsi ed effettuare il login (Tutor)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Permettere la registrazione di un bambino da parte del Tutor (Tutor)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Permettere al bambino di iniziare una sessione di disegno (Tutor)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Permettere a più bambini di accedere ad una stessa sessione di disegno condivisa (Tutor)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Consentire la gestione le proprie attività e visualizzare il proprio schedule di attività programmate (Tutor)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Consentire la visualizzazione di progressi e dei disegni di ogni bambino che ha in cura (Tutor)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Permettere la gestione del materiale educativo (Tutor)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Permettere di iniziare un nuovo disegno (Bambino)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Permettere l’accesso ad una sessione di disegno condivisa (Bambino)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Far usufruire del materiale educativo (Bambino)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8w23wvluk35d" w:id="10"/>
      <w:bookmarkEnd w:id="10"/>
      <w:r w:rsidDel="00000000" w:rsidR="00000000" w:rsidRPr="00000000">
        <w:rPr>
          <w:color w:val="001447"/>
          <w:sz w:val="44"/>
          <w:szCs w:val="44"/>
          <w:rtl w:val="0"/>
        </w:rPr>
        <w:t xml:space="preserve">7 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- Budget estimate and financial analysis</w:t>
      </w:r>
    </w:p>
    <w:p w:rsidR="00000000" w:rsidDel="00000000" w:rsidP="00000000" w:rsidRDefault="00000000" w:rsidRPr="00000000" w14:paraId="0000006A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Una stima iniziale dei costi per l’intero progetto con durata semestrale, fa riferimento ai costi relativi all’assunzione di due Project Manager e un Team Member Senior con una retribuzione di 21.00€ all’ora per 15 ore a settimana per 25 settimane lavorative, per un totale di 23.625€. </w:t>
      </w:r>
    </w:p>
    <w:p w:rsidR="00000000" w:rsidDel="00000000" w:rsidP="00000000" w:rsidRDefault="00000000" w:rsidRPr="00000000" w14:paraId="0000006B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 questo si aggiungono i costi relativi all’assunzione di 7 Team Members Junior con una retribuzione di 16.00€ all’ora, anch’essi per 15 ore a settimana per 25 settimane lavorative, per un totale di 42.000€. Il costo totale per il personale è quindi di 65.625€. A questi si sommano i costi per servizi aggiuntivi come hosting, licenze software e altre spese operative, che ammontano a 5.600€, infine si stima un costo per la gestione dei rischi pari a 13.453,13€ portando il costo totale del primo anno a 84.678€.</w:t>
      </w:r>
    </w:p>
    <w:p w:rsidR="00000000" w:rsidDel="00000000" w:rsidP="00000000" w:rsidRDefault="00000000" w:rsidRPr="00000000" w14:paraId="0000006C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Per la successiva manutenzione nei tre anni successivi, si prevede la presenza di un Project Manager e tre Team Members Junior che lavoreranno per 3 ore a settimana per 25 settimane lavorative, per un costo totale annuale di 5.775€. Questo include le spese per il personale e i costi operativi ricorrenti.</w:t>
      </w:r>
    </w:p>
    <w:p w:rsidR="00000000" w:rsidDel="00000000" w:rsidP="00000000" w:rsidRDefault="00000000" w:rsidRPr="00000000" w14:paraId="0000006D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 benefici del progetto non sono visti in termini di entrate generate dalla piattaforma, poiché l'obiettivo principale è migliorare il benessere emotivo dei bambini con difficoltà psichiatriche offrendo un servizio educativo e terapeutico innovativo. Tuttavia, il progetto prevede finanziamenti dal Ministero della Salute, nostro sponsor principale, pari a 30.312€ per l'anno uno, 41.750€ per il secondo anno e 50.050€ per il terzo anno.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Costi Team per la realizzazione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965"/>
        <w:gridCol w:w="1590"/>
        <w:gridCol w:w="1380"/>
        <w:gridCol w:w="1380"/>
        <w:gridCol w:w="1365"/>
        <w:tblGridChange w:id="0">
          <w:tblGrid>
            <w:gridCol w:w="1350"/>
            <w:gridCol w:w="1965"/>
            <w:gridCol w:w="1590"/>
            <w:gridCol w:w="1380"/>
            <w:gridCol w:w="1380"/>
            <w:gridCol w:w="1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Ruolo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Ore Settimanali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Settimane Lavorative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Paga Oraria (€)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 Membri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Totale (€)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Senior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23625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Junior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65625</w:t>
            </w:r>
          </w:p>
        </w:tc>
      </w:tr>
    </w:tbl>
    <w:p w:rsidR="00000000" w:rsidDel="00000000" w:rsidP="00000000" w:rsidRDefault="00000000" w:rsidRPr="00000000" w14:paraId="00000087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Costi Team per la manutenzione</w:t>
      </w:r>
    </w:p>
    <w:sdt>
      <w:sdtPr>
        <w:lock w:val="contentLocked"/>
        <w:tag w:val="goog_rdk_1"/>
      </w:sdtPr>
      <w:sdtContent>
        <w:tbl>
          <w:tblPr>
            <w:tblStyle w:val="Table5"/>
            <w:tblW w:w="90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1965"/>
            <w:gridCol w:w="1590"/>
            <w:gridCol w:w="1380"/>
            <w:gridCol w:w="1380"/>
            <w:gridCol w:w="1365"/>
            <w:tblGridChange w:id="0">
              <w:tblGrid>
                <w:gridCol w:w="1350"/>
                <w:gridCol w:w="1965"/>
                <w:gridCol w:w="1590"/>
                <w:gridCol w:w="1380"/>
                <w:gridCol w:w="1380"/>
                <w:gridCol w:w="13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Ruolo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Ore Settimanali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B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Settimane Lavorative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Paga Oraria (€)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D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# Membri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Totale (€)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F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Senior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1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25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2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21 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1575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5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Junior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25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16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3600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B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C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D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E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5175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Costi Annuali</w:t>
      </w:r>
    </w:p>
    <w:sdt>
      <w:sdtPr>
        <w:lock w:val="contentLocked"/>
        <w:tag w:val="goog_rdk_2"/>
      </w:sdtPr>
      <w:sdtContent>
        <w:tbl>
          <w:tblPr>
            <w:tblStyle w:val="Table6"/>
            <w:tblW w:w="9025.511811023624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3.6552009946126"/>
            <w:gridCol w:w="1677.4388727724827"/>
            <w:gridCol w:w="1350.857853294654"/>
            <w:gridCol w:w="1974.3307086614177"/>
            <w:gridCol w:w="1469.6145876502283"/>
            <w:gridCol w:w="1469.6145876502283"/>
            <w:tblGridChange w:id="0">
              <w:tblGrid>
                <w:gridCol w:w="1083.6552009946126"/>
                <w:gridCol w:w="1677.4388727724827"/>
                <w:gridCol w:w="1350.857853294654"/>
                <w:gridCol w:w="1974.3307086614177"/>
                <w:gridCol w:w="1469.6145876502283"/>
                <w:gridCol w:w="1469.614587650228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3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4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Attrezzature (€)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5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Hosting (€)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6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Team (€)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7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Rischi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8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Totale (€)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Anno 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63000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D">
                <w:pPr>
                  <w:spacing w:after="100" w:before="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13.453,13€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E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84678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F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Anno 1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1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2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4968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5775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5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Anno 2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4968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5775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B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Anno 3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C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D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E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4968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5775</w:t>
                </w:r>
              </w:p>
            </w:tc>
          </w:tr>
        </w:tbl>
      </w:sdtContent>
    </w:sdt>
    <w:p w:rsidR="00000000" w:rsidDel="00000000" w:rsidP="00000000" w:rsidRDefault="00000000" w:rsidRPr="00000000" w14:paraId="000000C1">
      <w:pPr>
        <w:spacing w:after="10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</w:t>
      </w:r>
    </w:p>
    <w:sdt>
      <w:sdtPr>
        <w:lock w:val="contentLocked"/>
        <w:tag w:val="goog_rdk_3"/>
      </w:sdtPr>
      <w:sdtContent>
        <w:tbl>
          <w:tblPr>
            <w:tblStyle w:val="Table7"/>
            <w:tblW w:w="10260.0" w:type="dxa"/>
            <w:jc w:val="left"/>
            <w:tblInd w:w="-55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245"/>
            <w:gridCol w:w="1260"/>
            <w:gridCol w:w="1365"/>
            <w:gridCol w:w="2130"/>
            <w:gridCol w:w="1515"/>
            <w:gridCol w:w="1350"/>
            <w:gridCol w:w="1395"/>
            <w:tblGridChange w:id="0">
              <w:tblGrid>
                <w:gridCol w:w="1245"/>
                <w:gridCol w:w="1260"/>
                <w:gridCol w:w="1365"/>
                <w:gridCol w:w="2130"/>
                <w:gridCol w:w="1515"/>
                <w:gridCol w:w="1350"/>
                <w:gridCol w:w="1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6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7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Enti coinvolti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8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% risparmio operativo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9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Risparmio amministrativo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A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Incremento benessere psicologico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B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Benefici fondi pubblici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C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Totale (€)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D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Anno 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E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1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2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4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Anno 1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2062,50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8250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20000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30.312,50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B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Anno 2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C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D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E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2750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11000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28000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1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41.750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2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Anno 3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25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24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3300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13750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33000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50.050</w:t>
                </w:r>
              </w:p>
            </w:tc>
          </w:tr>
        </w:tbl>
      </w:sdtContent>
    </w:sdt>
    <w:p w:rsidR="00000000" w:rsidDel="00000000" w:rsidP="00000000" w:rsidRDefault="00000000" w:rsidRPr="00000000" w14:paraId="000000E9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Rischi</w:t>
      </w:r>
    </w:p>
    <w:sdt>
      <w:sdtPr>
        <w:lock w:val="contentLocked"/>
        <w:tag w:val="goog_rdk_4"/>
      </w:sdtPr>
      <w:sdtContent>
        <w:tbl>
          <w:tblPr>
            <w:tblStyle w:val="Table8"/>
            <w:tblW w:w="9525.0" w:type="dxa"/>
            <w:jc w:val="left"/>
            <w:tblInd w:w="-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30"/>
            <w:gridCol w:w="3540"/>
            <w:gridCol w:w="3555"/>
            <w:tblGridChange w:id="0">
              <w:tblGrid>
                <w:gridCol w:w="2430"/>
                <w:gridCol w:w="3540"/>
                <w:gridCol w:w="35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B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C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% Percentuale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D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Totale (€)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E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Contingency reserve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10,5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0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6.890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1">
                <w:pPr>
                  <w:spacing w:after="160" w:line="259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Management reserve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6.562</w:t>
                </w:r>
              </w:p>
            </w:tc>
          </w:tr>
        </w:tbl>
      </w:sdtContent>
    </w:sdt>
    <w:p w:rsidR="00000000" w:rsidDel="00000000" w:rsidP="00000000" w:rsidRDefault="00000000" w:rsidRPr="00000000" w14:paraId="000000F4">
      <w:pPr>
        <w:spacing w:after="10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Da queste assunzioni, la stima preliminare ha prodotto i seguenti risultati:</w:t>
      </w:r>
    </w:p>
    <w:p w:rsidR="00000000" w:rsidDel="00000000" w:rsidP="00000000" w:rsidRDefault="00000000" w:rsidRPr="00000000" w14:paraId="000000F6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NPV (Valore Attuale Netto) pari a 12428€;</w:t>
      </w:r>
    </w:p>
    <w:p w:rsidR="00000000" w:rsidDel="00000000" w:rsidP="00000000" w:rsidRDefault="00000000" w:rsidRPr="00000000" w14:paraId="000000F7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ROI (Return on Investment) pari a 12%;</w:t>
      </w:r>
    </w:p>
    <w:p w:rsidR="00000000" w:rsidDel="00000000" w:rsidP="00000000" w:rsidRDefault="00000000" w:rsidRPr="00000000" w14:paraId="000000F8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Payback period pari a circa 3 anni.</w:t>
      </w:r>
    </w:p>
    <w:p w:rsidR="00000000" w:rsidDel="00000000" w:rsidP="00000000" w:rsidRDefault="00000000" w:rsidRPr="00000000" w14:paraId="000000F9">
      <w:pPr>
        <w:spacing w:after="100" w:before="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Nonostante tali numeri possano essere bassi, si fa presente che gli obiettivi di business riguardano il benessere della collettività. Il guadagno economico, quindi, non è l’obiettivo principale del progetto.</w:t>
      </w:r>
    </w:p>
    <w:p w:rsidR="00000000" w:rsidDel="00000000" w:rsidP="00000000" w:rsidRDefault="00000000" w:rsidRPr="00000000" w14:paraId="000000FA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ulymf3jis3qc" w:id="11"/>
      <w:bookmarkEnd w:id="11"/>
      <w:r w:rsidDel="00000000" w:rsidR="00000000" w:rsidRPr="00000000">
        <w:rPr>
          <w:color w:val="001447"/>
          <w:sz w:val="44"/>
          <w:szCs w:val="44"/>
          <w:rtl w:val="0"/>
        </w:rPr>
        <w:t xml:space="preserve">8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Schedule estimate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 tempi di sviluppo stimati per la realizzazione di questo progetto avranno una durata di 25 settimane lavorative. Le attività progettuali avranno inizio ad Ottobre 2024 e finiranno ad Aprile 2025. Si assume che la piattaforma avrà un ciclo di vita utile maggiore ai tre anni.</w:t>
      </w:r>
    </w:p>
    <w:p w:rsidR="00000000" w:rsidDel="00000000" w:rsidP="00000000" w:rsidRDefault="00000000" w:rsidRPr="00000000" w14:paraId="000000FC">
      <w:pPr>
        <w:pStyle w:val="Heading1"/>
        <w:rPr>
          <w:color w:val="001447"/>
          <w:sz w:val="50"/>
          <w:szCs w:val="50"/>
        </w:rPr>
      </w:pPr>
      <w:bookmarkStart w:colFirst="0" w:colLast="0" w:name="_heading=h.6ai9iid1arz0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6ep7kj41c0in" w:id="13"/>
      <w:bookmarkEnd w:id="13"/>
      <w:r w:rsidDel="00000000" w:rsidR="00000000" w:rsidRPr="00000000">
        <w:rPr>
          <w:color w:val="001447"/>
          <w:sz w:val="44"/>
          <w:szCs w:val="44"/>
          <w:rtl w:val="0"/>
        </w:rPr>
        <w:t xml:space="preserve">9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Potential Risk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 fattori di rischio rilevati per il progetto sono: 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Mancanza di fiducia da parte dei terapeuti verso il sistema sviluppato.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Investimento di risorse senza ottenere i risultati sperati.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Sviluppo di una piattaforma non adeguatamente intuitiva all’utilizzo da parte dei bambini.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Problemi di comunicazione tra i membri del team e i project manager.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Mancanza di competenze tecniche specifiche per lo sviluppo delle funzionalità del progetto.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d8j08ph8650v" w:id="14"/>
      <w:bookmarkEnd w:id="14"/>
      <w:r w:rsidDel="00000000" w:rsidR="00000000" w:rsidRPr="00000000">
        <w:rPr>
          <w:color w:val="001447"/>
          <w:sz w:val="44"/>
          <w:szCs w:val="44"/>
          <w:rtl w:val="0"/>
        </w:rPr>
        <w:t xml:space="preserve">10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Exhibits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w:drawing>
          <wp:inline distB="114300" distT="114300" distL="114300" distR="114300">
            <wp:extent cx="6232097" cy="30171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097" cy="3017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image" Target="media/image3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D3BaDXVPjr/YjTDzNQOkpaCAA==">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15/10/2024</vt:lpwstr>
  </property>
</Properties>
</file>