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Pr>
          <w:rFonts w:asciiTheme="minorHAnsi" w:hAnsiTheme="minorHAnsi" w:cstheme="minorHAnsi"/>
          <w:sz w:val="20"/>
        </w:rPr>
        <w:t xml:space="preserve">In this Agreement, "Representatives" shall mean, with respect to any specified person, all of such person's Affiliates and its and their respective directors, agents, representatives, employees, officers, management, shareholders, potential syndicate members and advisors (including financial advisors, counsels, accountants and potential financiers).</w:t>
      </w:r>
      <w:proofErr w:type="gramStart"/>
      <w:proofErr w:type="gramEnd"/>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Pr>
          <w:rFonts w:asciiTheme="minorHAnsi" w:hAnsiTheme="minorHAnsi" w:cstheme="minorHAnsi"/>
          <w:sz w:val="20"/>
        </w:rPr>
        <w:t xml:space="preserve">you shall use best efforts to ensure your Representatives comply with the terms of this Agreement and you shall be responsible for any breach of this Agreement by your Representatives</w:t>
      </w:r>
      <w:r w:rsidRPr="00BC54F2">
        <w:rPr>
          <w:rFonts w:asciiTheme="minorHAnsi" w:hAnsiTheme="minorHAnsi" w:cstheme="minorHAnsi"/>
          <w:sz w:val="20"/>
        </w:rPr>
        <w:t>Transaction. They shall be informed by you in advance of the confidential nature of the Information. You acknowledge and agree that</w:t>
      </w:r>
      <w:r w:rsidRPr="00BC54F2">
        <w:rPr>
          <w:rFonts w:asciiTheme="minorHAnsi" w:hAnsiTheme="minorHAnsi" w:cstheme="minorHAnsi"/>
          <w:sz w:val="20"/>
        </w:rPr>
        <w:t xml:space="preserve">.</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You will not and shall procure that none of your Representatives will contact or hold discussions with any director, officer, or employee of the Company in connection with the Proposed Transaction, provided that this restriction shall not apply to any contacts made in the ordinary course of business for purposes unconnected with the Proposed Transaction.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Pr>
          <w:rFonts w:asciiTheme="minorHAnsi" w:hAnsiTheme="minorHAnsi" w:cstheme="minorHAnsi"/>
          <w:sz w:val="20"/>
        </w:rPr>
        <w:t xml:space="preserve">You agree that upon the Company’s written request, you will promptly return or destroy all Information in your possession and in the possession of your Representatives; provided, however, that this obligation shall not apply to: (i) Information required to be retained by you or your Representatives under applicable law or regulation; (ii) analyses, compilations, studies, or other documents prepared by or on behalf of you or your Representatives which contain or otherwise reflect Information; and (iii) Information residing on automated backup or archival systems. Any Information so retained shall remain subject to the confidentiality obligations of this Agreement.</w:t>
      </w:r>
      <w:r w:rsidRPr="00BC54F2">
        <w:rPr>
          <w:rFonts w:asciiTheme="minorHAnsi" w:hAnsiTheme="minorHAnsi" w:cstheme="minorHAnsi"/>
          <w:sz w:val="20"/>
        </w:rPr>
        <w:t xml:space="preserve">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(c) is independently developed by you without violating this Agreement; or (d) is disclosed with the prior written consent of the Company.</w:t>
      </w:r>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Pr>
          <w:rFonts w:asciiTheme="minorHAnsi" w:hAnsiTheme="minorHAnsi" w:cstheme="minorHAnsi"/>
          <w:sz w:val="20"/>
        </w:rPr>
        <w:t xml:space="preserve">you shall not, directly or indirectly, solicit for employment any employee of the Company with whom you had material contact in connection with the Proposed Transaction; provided that this restriction shall not prohibit you from: (i) making general solicitations to the public not specifically targeted at employees of the Company, or (ii) hiring any individual who responds to such a general solicitation, makes an unsolicited application for employment, is referred by a third-party recruiter who was not instructed to target employees of the Company, or whose employment with the Company has been terminated.</w:t>
      </w:r>
      <w:r w:rsidRPr="00BC54F2">
        <w:rPr>
          <w:rFonts w:asciiTheme="minorHAnsi" w:hAnsiTheme="minorHAnsi" w:cstheme="minorHAnsi"/>
          <w:sz w:val="20"/>
        </w:rPr>
        <w:t>,</w:t>
      </w:r>
      <w:proofErr w:type="spellStart"/>
      <w:proofErr w:type="spellEnd"/>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r>
        <w:rPr>
          <w:rFonts w:asciiTheme="minorHAnsi" w:hAnsiTheme="minorHAnsi" w:cstheme="minorHAnsi"/>
          <w:sz w:val="20"/>
        </w:rPr>
        <w:t xml:space="preserve">Such confidentiality obligations shall survive termination of this Agreement for a period of two (2) years, without prejudice to any longer term which may apply to trade secrets and intellectual property rights.</w:t>
      </w:r>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A party’s liability arising from a breach of this Agreement shall be limited to proven, direct damages. In no event shall either party be liable for any indirect, consequential, special, punitive, or incidental damages, or for any loss of profits, revenue, or data.</w:t>
      </w:r>
      <w:proofErr w:type="spellStart"/>
      <w:proofErr w:type="spellEnd"/>
      <w:proofErr w:type="spellStart"/>
      <w:proofErr w:type="spellEnd"/>
      <w:r w:rsidRPr="00594359">
        <w:rPr>
          <w:rFonts w:asciiTheme="minorHAnsi" w:hAnsiTheme="minorHAnsi" w:cstheme="minorHAnsi"/>
          <w:sz w:val="20"/>
        </w:rPr>
        <w:t xml:space="preserve">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Neither party may assign this Agreement without the prior written consent of the other party, which consent shall not be unreasonably withheld or delayed; provided, however, that either party may assign this Agreement to any of its Affiliates without such consent.</w:t>
      </w:r>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