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rFonts w:hint="default"/>
                <w:lang w:val="en"/>
              </w:rPr>
              <w:t>22.11.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oggi ho avuto il colloquio con il docente formatore. I dettagli sono disponibili nella cartella Colloqui. Oggi ho finito il meccanismo di prenotazione di un parcheggio. Ora è possibile prenotare un parcheggio e una volta fatto quest’ultimo verrà rimosso dalla lista dei parcheggi disponibili.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model per la prenotazione ho aggiunto del codice con il quale salvo l’id del parcheggio nella sessione perchè mi servirà in seguito.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getParcheggioInfo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$id_parcheggio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] =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$id_parcheggio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creato due nuove funzioni: prenota() e updateParcheggio(). La prima serve per aggiungere una prenotazione mentre la seconda aggiorna lo stato del parcheggio prenotato.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5"/>
                <w:szCs w:val="15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>/**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 xml:space="preserve"> * Funzione che crea una prenotazione.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prenota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5"/>
                <w:szCs w:val="15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"insert into prenotazione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richiamo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data_prenotazione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id_utente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id_posteggio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values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            (false, 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current_timestamp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, :id_utente, :id_posteggio);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':id_utente'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'user_id'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':id_posteggio'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try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if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5"/>
                <w:szCs w:val="15"/>
                <w:shd w:val="clear" w:fill="232525"/>
              </w:rPr>
              <w:t>Auth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isAuthenticated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execute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updateParcheggio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unset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])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'prenotazioneOK'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"Prenotazione avvenuta"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else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    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"register/index"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"Devi prima registrarti"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}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catch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(PDOException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        ViewLoader::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5"/>
                <w:szCs w:val="15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'parcheggio'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5"/>
                <w:szCs w:val="15"/>
                <w:shd w:val="clear" w:fill="232525"/>
              </w:rPr>
              <w:t>$parcheggio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'prenotazioneNO'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"Prenotazione fallita"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Questa è la funzione prenota. Se l’utente che esegue la prenotazione è registrato eseguo la query, aggiorno lo stato del parcheggio, unsetto la variabile nella sessione con l’id e poi carico la pagina home nella quale mostro una notifica di successo. Nella pagina home ho aggiunto il seguente codice per far visualizzare la notifica: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  <w:lang w:val="en"/>
              </w:rPr>
              <w:t>prenotazione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5"/>
                <w:szCs w:val="15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  <w:lang w:val="en"/>
              </w:rPr>
              <w:t>prenotazione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5"/>
                <w:szCs w:val="15"/>
                <w:shd w:val="clear" w:fill="232525"/>
              </w:rPr>
              <w:t>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success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5"/>
                <w:szCs w:val="15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5"/>
                <w:szCs w:val="15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hint="default" w:ascii="DejaVu Sans Mono" w:hAnsi="DejaVu Sans Mono" w:eastAsia="DejaVu Sans Mono" w:cs="DejaVu Sans Mono"/>
                <w:color w:val="CC7832"/>
                <w:sz w:val="15"/>
                <w:szCs w:val="15"/>
                <w:shd w:val="clear" w:fill="232525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t>/**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t xml:space="preserve"> * Funzione che aggiorna lo stato di un parcheggio prenotato.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t xml:space="preserve"> */</w:t>
            </w:r>
            <w:r>
              <w:rPr>
                <w:rFonts w:hint="default" w:ascii="DejaVu Sans Mono" w:hAnsi="DejaVu Sans Mono" w:eastAsia="DejaVu Sans Mono" w:cs="DejaVu Sans Mono"/>
                <w:i/>
                <w:color w:val="629755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public static function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updateParcheggio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6"/>
                <w:szCs w:val="16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6"/>
                <w:szCs w:val="16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"update posteggio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                    set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disponibilita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=null,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data_disp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=null,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n_targa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=null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                   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id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=:id;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 xml:space="preserve">    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':id'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6"/>
                <w:szCs w:val="16"/>
                <w:shd w:val="clear" w:fill="232525"/>
              </w:rPr>
              <w:t>$_SESSION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[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6"/>
                <w:szCs w:val="16"/>
                <w:shd w:val="clear" w:fill="232525"/>
              </w:rPr>
              <w:t>'id_posteggio_prenotato'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]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PARAM_INT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6"/>
                <w:szCs w:val="16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6"/>
                <w:szCs w:val="16"/>
                <w:shd w:val="clear" w:fill="232525"/>
              </w:rPr>
              <w:t>execute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()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6"/>
                <w:szCs w:val="16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6"/>
                <w:szCs w:val="16"/>
                <w:shd w:val="clear" w:fill="232525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Questa è invece la funzione updateParcheggio che setta tutti i campi di un parcheggio a null affichè il suo stato di “messo in offerta” venga annullato. Se l’utente invece prova a eseguire una prenotazione non essendo registrato,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 xml:space="preserve"> viene reindirizzato alla pagina di registrazione e viene mostrata una notifica che lo spiega. Il codice è il seguente: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$prenotazioneNO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8"/>
                <w:szCs w:val="18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$prenotazioneNO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error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Quando si eseguiva un’offerta correttamente, veniva caricata una pagina bianca e l’utente non veniva notificato dell’effettiva messa in offerta del posteggio. Ho fatto una modifica al codice e ora si viene reindirizzati nella pagina home e viene visualizzata una notifica di successo. Il codice è il seguente: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echo isset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$offertaOK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)?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"&lt;script&gt;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9876AA"/>
                <w:sz w:val="18"/>
                <w:szCs w:val="18"/>
                <w:shd w:val="clear" w:fill="232525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notify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$offertaOK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.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success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\"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)&lt;/script&gt;"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: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""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 model per l’offerta ho aggiunto invece il seguente codice che carica la pagina home passandogli come parametro il valore da inserire nella notifica: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ViewLoader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load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'home/index'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, array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'offertaOK'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=&gt;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"Offerta andata a buon fine"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Nella view home ho inoltre aggiunto il meta contenente la versione del sito.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spacing w:after="0" w:line="240" w:lineRule="auto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E8BF6A"/>
                <w:sz w:val="18"/>
                <w:szCs w:val="18"/>
                <w:shd w:val="clear" w:fill="2B2B2B"/>
              </w:rPr>
              <w:t xml:space="preserve">&lt;meta </w:t>
            </w:r>
            <w:r>
              <w:rPr>
                <w:rFonts w:hint="default" w:ascii="DejaVu Sans Mono" w:hAnsi="DejaVu Sans Mono" w:eastAsia="DejaVu Sans Mono" w:cs="DejaVu Sans Mono"/>
                <w:color w:val="BABABA"/>
                <w:sz w:val="18"/>
                <w:szCs w:val="18"/>
                <w:shd w:val="clear" w:fill="2B2B2B"/>
              </w:rPr>
              <w:t>name</w:t>
            </w:r>
            <w:r>
              <w:rPr>
                <w:rFonts w:hint="default" w:ascii="DejaVu Sans Mono" w:hAnsi="DejaVu Sans Mono" w:eastAsia="DejaVu Sans Mono" w:cs="DejaVu Sans Mono"/>
                <w:color w:val="A5C261"/>
                <w:sz w:val="18"/>
                <w:szCs w:val="18"/>
                <w:shd w:val="clear" w:fill="2B2B2B"/>
              </w:rPr>
              <w:t xml:space="preserve">="versione" </w:t>
            </w:r>
            <w:r>
              <w:rPr>
                <w:rFonts w:hint="default" w:ascii="DejaVu Sans Mono" w:hAnsi="DejaVu Sans Mono" w:eastAsia="DejaVu Sans Mono" w:cs="DejaVu Sans Mono"/>
                <w:color w:val="BABABA"/>
                <w:sz w:val="18"/>
                <w:szCs w:val="18"/>
                <w:shd w:val="clear" w:fill="2B2B2B"/>
              </w:rPr>
              <w:t>content</w:t>
            </w:r>
            <w:r>
              <w:rPr>
                <w:rFonts w:hint="default" w:ascii="DejaVu Sans Mono" w:hAnsi="DejaVu Sans Mono" w:eastAsia="DejaVu Sans Mono" w:cs="DejaVu Sans Mono"/>
                <w:color w:val="A5C261"/>
                <w:sz w:val="18"/>
                <w:szCs w:val="18"/>
                <w:shd w:val="clear" w:fill="2B2B2B"/>
              </w:rPr>
              <w:t>="00.06.00-22.11.2019"</w:t>
            </w:r>
            <w:r>
              <w:rPr>
                <w:rFonts w:hint="default" w:ascii="DejaVu Sans Mono" w:hAnsi="DejaVu Sans Mono" w:eastAsia="DejaVu Sans Mono" w:cs="DejaVu Sans Mono"/>
                <w:color w:val="E8BF6A"/>
                <w:sz w:val="18"/>
                <w:szCs w:val="18"/>
                <w:shd w:val="clear" w:fill="2B2B2B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"/>
              </w:rPr>
            </w:pP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-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6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la documentazione e svolgere i compiti definiti nel rapporto del colloquio odierno.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32FFA4CF"/>
    <w:rsid w:val="357DC398"/>
    <w:rsid w:val="35DA079D"/>
    <w:rsid w:val="35F870CE"/>
    <w:rsid w:val="3FB5F29B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EFF79F5"/>
    <w:rsid w:val="7FD6F92F"/>
    <w:rsid w:val="7FD78582"/>
    <w:rsid w:val="7FDD8F41"/>
    <w:rsid w:val="7FFF167F"/>
    <w:rsid w:val="85DB8CFC"/>
    <w:rsid w:val="9FF4030E"/>
    <w:rsid w:val="AD674835"/>
    <w:rsid w:val="BF995A4A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F8F19D"/>
    <w:rsid w:val="F793A5A5"/>
    <w:rsid w:val="F7EE8029"/>
    <w:rsid w:val="F9FF337D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50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2015-06-24T22:36:00Z</dcterms:created>
  <dc:creator>Paolo Weishaupt</dc:creator>
  <cp:lastModifiedBy>paolo</cp:lastModifiedBy>
  <cp:lastPrinted>2019-09-22T00:22:00Z</cp:lastPrinted>
  <dcterms:modified xsi:type="dcterms:W3CDTF">2019-11-22T17:23:36Z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