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1943C" w14:textId="77777777" w:rsidR="00F3688D" w:rsidRPr="008B7B7E" w:rsidRDefault="00000000">
      <w:pPr>
        <w:spacing w:after="80"/>
        <w:jc w:val="center"/>
      </w:pPr>
      <w:r w:rsidRPr="008B7B7E">
        <w:rPr>
          <w:b/>
          <w:bCs/>
          <w:sz w:val="36"/>
          <w:szCs w:val="36"/>
        </w:rPr>
        <w:t>Sistem Expert pentru Recomandarea unui</w:t>
      </w:r>
    </w:p>
    <w:p w14:paraId="65B9EAFB" w14:textId="27A908C2" w:rsidR="00F3688D" w:rsidRPr="008B7B7E" w:rsidRDefault="00000000" w:rsidP="00AC0CDB">
      <w:pPr>
        <w:spacing w:after="60"/>
        <w:jc w:val="center"/>
      </w:pPr>
      <w:r w:rsidRPr="008B7B7E">
        <w:rPr>
          <w:b/>
          <w:bCs/>
          <w:sz w:val="36"/>
          <w:szCs w:val="36"/>
        </w:rPr>
        <w:t>Plan Alimentar Personalizat</w:t>
      </w:r>
    </w:p>
    <w:p w14:paraId="1529A512" w14:textId="77777777" w:rsidR="00AC0CDB" w:rsidRPr="00AC0CDB" w:rsidRDefault="00AC0CDB" w:rsidP="00AC0CDB">
      <w:pPr>
        <w:spacing w:after="60"/>
        <w:jc w:val="center"/>
      </w:pPr>
    </w:p>
    <w:p w14:paraId="28788191" w14:textId="77777777" w:rsidR="00F3688D" w:rsidRPr="00AC0CDB" w:rsidRDefault="00000000">
      <w:pPr>
        <w:pStyle w:val="Heading1"/>
        <w:rPr>
          <w:lang w:val="ro-RO"/>
        </w:rPr>
      </w:pPr>
      <w:r w:rsidRPr="00AC0CDB">
        <w:rPr>
          <w:lang w:val="ro-RO"/>
        </w:rPr>
        <w:t>1. Componența Echipei</w:t>
      </w:r>
    </w:p>
    <w:tbl>
      <w:tblPr>
        <w:tblW w:w="9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7"/>
        <w:gridCol w:w="6357"/>
      </w:tblGrid>
      <w:tr w:rsidR="00F3688D" w:rsidRPr="00AC0CDB" w14:paraId="3F01FFD5" w14:textId="77777777" w:rsidTr="00AC0CDB">
        <w:tblPrEx>
          <w:tblCellMar>
            <w:top w:w="0" w:type="dxa"/>
            <w:bottom w:w="0" w:type="dxa"/>
          </w:tblCellMar>
        </w:tblPrEx>
        <w:trPr>
          <w:trHeight w:val="126"/>
        </w:trPr>
        <w:tc>
          <w:tcPr>
            <w:tcW w:w="3177" w:type="dxa"/>
            <w:tcBorders>
              <w:top w:val="single" w:sz="1" w:space="0" w:color="0F766E"/>
              <w:left w:val="single" w:sz="1" w:space="0" w:color="0F766E"/>
              <w:bottom w:val="single" w:sz="1" w:space="0" w:color="0F766E"/>
              <w:right w:val="single" w:sz="1" w:space="0" w:color="0F766E"/>
            </w:tcBorders>
            <w:shd w:val="clear" w:color="auto" w:fill="0F766E"/>
            <w:tcMar>
              <w:top w:w="80" w:type="dxa"/>
              <w:left w:w="120" w:type="dxa"/>
              <w:bottom w:w="80" w:type="dxa"/>
              <w:right w:w="120" w:type="dxa"/>
            </w:tcMar>
          </w:tcPr>
          <w:p w14:paraId="320F5E1C" w14:textId="77777777" w:rsidR="00F3688D" w:rsidRPr="00AC0CDB" w:rsidRDefault="00000000">
            <w:r w:rsidRPr="00AC0CDB">
              <w:rPr>
                <w:b/>
                <w:bCs/>
                <w:color w:val="FFFFFF"/>
                <w:sz w:val="22"/>
                <w:szCs w:val="22"/>
              </w:rPr>
              <w:t>Nume</w:t>
            </w:r>
          </w:p>
        </w:tc>
        <w:tc>
          <w:tcPr>
            <w:tcW w:w="6357" w:type="dxa"/>
            <w:tcBorders>
              <w:top w:val="single" w:sz="1" w:space="0" w:color="0F766E"/>
              <w:left w:val="single" w:sz="1" w:space="0" w:color="0F766E"/>
              <w:bottom w:val="single" w:sz="1" w:space="0" w:color="0F766E"/>
              <w:right w:val="single" w:sz="1" w:space="0" w:color="0F766E"/>
            </w:tcBorders>
            <w:shd w:val="clear" w:color="auto" w:fill="0F766E"/>
            <w:tcMar>
              <w:top w:w="80" w:type="dxa"/>
              <w:left w:w="120" w:type="dxa"/>
              <w:bottom w:w="80" w:type="dxa"/>
              <w:right w:w="120" w:type="dxa"/>
            </w:tcMar>
          </w:tcPr>
          <w:p w14:paraId="129A2820" w14:textId="77777777" w:rsidR="00F3688D" w:rsidRPr="00AC0CDB" w:rsidRDefault="00000000">
            <w:r w:rsidRPr="00AC0CDB">
              <w:rPr>
                <w:b/>
                <w:bCs/>
                <w:color w:val="FFFFFF"/>
                <w:sz w:val="22"/>
                <w:szCs w:val="22"/>
              </w:rPr>
              <w:t>Rol în proiect</w:t>
            </w:r>
          </w:p>
        </w:tc>
      </w:tr>
      <w:tr w:rsidR="00F3688D" w:rsidRPr="00AC0CDB" w14:paraId="79474B70" w14:textId="77777777" w:rsidTr="00AC0CDB">
        <w:tblPrEx>
          <w:tblCellMar>
            <w:top w:w="0" w:type="dxa"/>
            <w:bottom w:w="0" w:type="dxa"/>
          </w:tblCellMar>
        </w:tblPrEx>
        <w:trPr>
          <w:trHeight w:val="120"/>
        </w:trPr>
        <w:tc>
          <w:tcPr>
            <w:tcW w:w="317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C06EA9" w14:textId="77777777" w:rsidR="00F3688D" w:rsidRPr="00AC0CDB" w:rsidRDefault="00000000">
            <w:r w:rsidRPr="00AC0CDB">
              <w:rPr>
                <w:b/>
                <w:bCs/>
                <w:sz w:val="22"/>
                <w:szCs w:val="22"/>
              </w:rPr>
              <w:t>Pap Sara-Kristin</w:t>
            </w:r>
          </w:p>
        </w:tc>
        <w:tc>
          <w:tcPr>
            <w:tcW w:w="63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6232E5" w14:textId="2A89AB16" w:rsidR="00F3688D" w:rsidRPr="00AC0CDB" w:rsidRDefault="00000000">
            <w:r w:rsidRPr="00AC0CDB">
              <w:rPr>
                <w:sz w:val="22"/>
                <w:szCs w:val="22"/>
              </w:rPr>
              <w:t xml:space="preserve">Baza de cunoștințe — definirea și structurarea regulilor </w:t>
            </w:r>
          </w:p>
        </w:tc>
      </w:tr>
      <w:tr w:rsidR="00F3688D" w:rsidRPr="00AC0CDB" w14:paraId="3E75CA8B" w14:textId="77777777" w:rsidTr="00AC0CDB">
        <w:tblPrEx>
          <w:tblCellMar>
            <w:top w:w="0" w:type="dxa"/>
            <w:bottom w:w="0" w:type="dxa"/>
          </w:tblCellMar>
        </w:tblPrEx>
        <w:trPr>
          <w:trHeight w:val="126"/>
        </w:trPr>
        <w:tc>
          <w:tcPr>
            <w:tcW w:w="3177"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tcPr>
          <w:p w14:paraId="3F25F622" w14:textId="77777777" w:rsidR="00F3688D" w:rsidRPr="00AC0CDB" w:rsidRDefault="00000000">
            <w:r w:rsidRPr="00AC0CDB">
              <w:rPr>
                <w:b/>
                <w:bCs/>
                <w:sz w:val="22"/>
                <w:szCs w:val="22"/>
              </w:rPr>
              <w:t>Costea Șerban</w:t>
            </w:r>
          </w:p>
        </w:tc>
        <w:tc>
          <w:tcPr>
            <w:tcW w:w="6357" w:type="dxa"/>
            <w:tcBorders>
              <w:top w:val="single" w:sz="1" w:space="0" w:color="CCCCCC"/>
              <w:left w:val="single" w:sz="1" w:space="0" w:color="CCCCCC"/>
              <w:bottom w:val="single" w:sz="1" w:space="0" w:color="CCCCCC"/>
              <w:right w:val="single" w:sz="1" w:space="0" w:color="CCCCCC"/>
            </w:tcBorders>
            <w:shd w:val="clear" w:color="auto" w:fill="F0FDFA"/>
            <w:tcMar>
              <w:top w:w="80" w:type="dxa"/>
              <w:left w:w="120" w:type="dxa"/>
              <w:bottom w:w="80" w:type="dxa"/>
              <w:right w:w="120" w:type="dxa"/>
            </w:tcMar>
          </w:tcPr>
          <w:p w14:paraId="2E60464D" w14:textId="5A5C85E6" w:rsidR="00F3688D" w:rsidRPr="00AC0CDB" w:rsidRDefault="00000000">
            <w:r w:rsidRPr="00AC0CDB">
              <w:rPr>
                <w:sz w:val="22"/>
                <w:szCs w:val="22"/>
              </w:rPr>
              <w:t xml:space="preserve">Interfața grafică — implementarea aplicației web în React </w:t>
            </w:r>
          </w:p>
        </w:tc>
      </w:tr>
      <w:tr w:rsidR="00F3688D" w:rsidRPr="00AC0CDB" w14:paraId="08EA70FF" w14:textId="77777777" w:rsidTr="00AC0CDB">
        <w:tblPrEx>
          <w:tblCellMar>
            <w:top w:w="0" w:type="dxa"/>
            <w:bottom w:w="0" w:type="dxa"/>
          </w:tblCellMar>
        </w:tblPrEx>
        <w:trPr>
          <w:trHeight w:val="253"/>
        </w:trPr>
        <w:tc>
          <w:tcPr>
            <w:tcW w:w="317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E816C7" w14:textId="77777777" w:rsidR="00F3688D" w:rsidRPr="00AC0CDB" w:rsidRDefault="00000000">
            <w:r w:rsidRPr="00AC0CDB">
              <w:rPr>
                <w:b/>
                <w:bCs/>
                <w:sz w:val="22"/>
                <w:szCs w:val="22"/>
              </w:rPr>
              <w:t>Duță Alexandru-George</w:t>
            </w:r>
          </w:p>
        </w:tc>
        <w:tc>
          <w:tcPr>
            <w:tcW w:w="63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BEB9CB" w14:textId="7E753F5C" w:rsidR="00F3688D" w:rsidRPr="00AC0CDB" w:rsidRDefault="00000000">
            <w:r w:rsidRPr="00AC0CDB">
              <w:rPr>
                <w:sz w:val="22"/>
                <w:szCs w:val="22"/>
              </w:rPr>
              <w:t>Mașina de inferenț</w:t>
            </w:r>
            <w:r w:rsidR="00AC0CDB" w:rsidRPr="00AC0CDB">
              <w:rPr>
                <w:sz w:val="22"/>
                <w:szCs w:val="22"/>
              </w:rPr>
              <w:t>a</w:t>
            </w:r>
            <w:r w:rsidRPr="00AC0CDB">
              <w:rPr>
                <w:sz w:val="22"/>
                <w:szCs w:val="22"/>
              </w:rPr>
              <w:t xml:space="preserve"> — implementarea algoritmului Forward Chaining </w:t>
            </w:r>
          </w:p>
        </w:tc>
      </w:tr>
    </w:tbl>
    <w:p w14:paraId="458FA72B" w14:textId="77777777" w:rsidR="00AC0CDB" w:rsidRPr="00AC0CDB" w:rsidRDefault="00AC0CDB">
      <w:pPr>
        <w:pBdr>
          <w:bottom w:val="single" w:sz="4" w:space="1" w:color="E5E7EB"/>
        </w:pBdr>
        <w:spacing w:before="60" w:after="60"/>
      </w:pPr>
    </w:p>
    <w:p w14:paraId="1E00B694" w14:textId="77777777" w:rsidR="00F3688D" w:rsidRPr="00AC0CDB" w:rsidRDefault="00000000">
      <w:pPr>
        <w:pStyle w:val="Heading1"/>
        <w:rPr>
          <w:lang w:val="ro-RO"/>
        </w:rPr>
      </w:pPr>
      <w:r w:rsidRPr="00AC0CDB">
        <w:rPr>
          <w:lang w:val="ro-RO"/>
        </w:rPr>
        <w:t>2. Scopul Proiectului</w:t>
      </w:r>
    </w:p>
    <w:p w14:paraId="722465BF" w14:textId="79604D97" w:rsidR="00AC0CDB" w:rsidRPr="00AC0CDB" w:rsidRDefault="00000000" w:rsidP="00AC0CDB">
      <w:pPr>
        <w:spacing w:before="60" w:after="100"/>
        <w:jc w:val="both"/>
      </w:pPr>
      <w:r w:rsidRPr="00AC0CDB">
        <w:t xml:space="preserve">Proiectul implementează un </w:t>
      </w:r>
      <w:r w:rsidRPr="00AC0CDB">
        <w:rPr>
          <w:b/>
          <w:bCs/>
        </w:rPr>
        <w:t>sistem expert bazat pe reguli</w:t>
      </w:r>
      <w:r w:rsidRPr="00AC0CDB">
        <w:t xml:space="preserve"> capabil să genereze recomandări nutriționale personalizate pe baza datelor introduse de utilizator: vârstă, greutate, înălțime, sex, nivel de activitate fizică și obiectiv nutrițional (slăbire, menținere sau creștere în greutate). Sistemul calculează indicatori precum BMI, rata metabolică bazală (BMR) și necesarul caloric zilnic total (TDEE), aplică un set de reguli IF-THEN stocate într-o bază de cunoștințe în format JSON și generează un plan alimentar orientativ care include ținta calorică zilnică, distribuția macronutrienților, cantitatea recomandată de apă și </w:t>
      </w:r>
      <w:r w:rsidR="00AC0CDB">
        <w:t>numarul de mese zilnice</w:t>
      </w:r>
      <w:r w:rsidRPr="00AC0CDB">
        <w:t xml:space="preserve">. </w:t>
      </w:r>
    </w:p>
    <w:p w14:paraId="3BE0CD20" w14:textId="77777777" w:rsidR="00F3688D" w:rsidRPr="00AC0CDB" w:rsidRDefault="00000000">
      <w:pPr>
        <w:pStyle w:val="Heading1"/>
        <w:rPr>
          <w:lang w:val="ro-RO"/>
        </w:rPr>
      </w:pPr>
      <w:r w:rsidRPr="00AC0CDB">
        <w:rPr>
          <w:lang w:val="ro-RO"/>
        </w:rPr>
        <w:t>3. Descrierea Codului</w:t>
      </w:r>
    </w:p>
    <w:p w14:paraId="3A2A0F8E" w14:textId="7E8D87C6" w:rsidR="00F3688D" w:rsidRPr="00AC0CDB" w:rsidRDefault="00000000">
      <w:pPr>
        <w:pStyle w:val="Heading2"/>
        <w:rPr>
          <w:lang w:val="ro-RO"/>
        </w:rPr>
      </w:pPr>
      <w:r w:rsidRPr="00AC0CDB">
        <w:rPr>
          <w:lang w:val="ro-RO"/>
        </w:rPr>
        <w:t xml:space="preserve">3.1 Baza de cunoștințe </w:t>
      </w:r>
    </w:p>
    <w:p w14:paraId="58D05347" w14:textId="77777777" w:rsidR="00AC0CDB" w:rsidRDefault="00000000">
      <w:pPr>
        <w:spacing w:before="60" w:after="100"/>
        <w:jc w:val="both"/>
      </w:pPr>
      <w:r w:rsidRPr="00AC0CDB">
        <w:t xml:space="preserve">Baza de cunoștințe este stocată într-un fișier JSON structurat în trei secțiuni principale. Secțiunea </w:t>
      </w:r>
      <w:r w:rsidRPr="00AC0CDB">
        <w:rPr>
          <w:b/>
          <w:bCs/>
        </w:rPr>
        <w:t>facts_schema</w:t>
      </w:r>
      <w:r w:rsidRPr="00AC0CDB">
        <w:t xml:space="preserve"> definește tipurile și domeniile de valori acceptate pentru datele introduse de utilizator. Secțiunea </w:t>
      </w:r>
      <w:r w:rsidRPr="00AC0CDB">
        <w:rPr>
          <w:b/>
          <w:bCs/>
        </w:rPr>
        <w:t>intermediate_facts</w:t>
      </w:r>
      <w:r w:rsidRPr="00AC0CDB">
        <w:t xml:space="preserve"> specifică formulele matematice pentru calculul faptelor derivate (BMI, BMR, TDEE) și factorii de activitate fizică utilizați. </w:t>
      </w:r>
    </w:p>
    <w:p w14:paraId="7AA386A3" w14:textId="43D18B0D" w:rsidR="00F3688D" w:rsidRPr="00AC0CDB" w:rsidRDefault="00000000">
      <w:pPr>
        <w:spacing w:before="60" w:after="100"/>
        <w:jc w:val="both"/>
      </w:pPr>
      <w:r w:rsidRPr="00AC0CDB">
        <w:t xml:space="preserve">Secțiunea </w:t>
      </w:r>
      <w:r w:rsidRPr="00AC0CDB">
        <w:rPr>
          <w:b/>
          <w:bCs/>
        </w:rPr>
        <w:t>rules</w:t>
      </w:r>
      <w:r w:rsidRPr="00AC0CDB">
        <w:t xml:space="preserve"> conține cele 17 reguli IF-THEN ale sistemului, fiecare cu un identificator unic (R001–R061), un nivel de prioritate (1–7), un bloc de condiții și o concluzie. Regulile acoperă clasificarea BMI, calculul caloriilor țintă, detectarea situațiilor atipice (avertismente), distribuția macronutrienților, ajustările caloric pe vârstă, recomandările de hidratare și frecvența meselo</w:t>
      </w:r>
      <w:r w:rsidR="00AC0CDB">
        <w:t>r</w:t>
      </w:r>
      <w:r w:rsidRPr="00AC0CDB">
        <w:t>.</w:t>
      </w:r>
    </w:p>
    <w:p w14:paraId="6E710310" w14:textId="2AFF3666" w:rsidR="00F3688D" w:rsidRPr="00AC0CDB" w:rsidRDefault="00000000">
      <w:pPr>
        <w:pStyle w:val="Heading2"/>
        <w:rPr>
          <w:lang w:val="ro-RO"/>
        </w:rPr>
      </w:pPr>
      <w:r w:rsidRPr="00AC0CDB">
        <w:rPr>
          <w:lang w:val="ro-RO"/>
        </w:rPr>
        <w:t xml:space="preserve">3.2 Mașina de inferență </w:t>
      </w:r>
    </w:p>
    <w:p w14:paraId="008F73BA" w14:textId="16CC306E" w:rsidR="00F3688D" w:rsidRPr="00AC0CDB" w:rsidRDefault="00000000">
      <w:pPr>
        <w:spacing w:before="60" w:after="100"/>
        <w:jc w:val="both"/>
      </w:pPr>
      <w:r w:rsidRPr="00AC0CDB">
        <w:t xml:space="preserve">Mașina de inferență este implementată ca un modul JavaScript , exportând funcția principală </w:t>
      </w:r>
      <w:r w:rsidRPr="00AC0CDB">
        <w:rPr>
          <w:b/>
          <w:bCs/>
        </w:rPr>
        <w:t>forwardChaining(userInput, knowledgeBase)</w:t>
      </w:r>
      <w:r w:rsidRPr="00AC0CDB">
        <w:t xml:space="preserve">. Aceasta parcurge patru etape. În prima etapă, funcția </w:t>
      </w:r>
      <w:r w:rsidRPr="00AC0CDB">
        <w:rPr>
          <w:b/>
          <w:bCs/>
        </w:rPr>
        <w:t>computeIntermediateFacts()</w:t>
      </w:r>
      <w:r w:rsidRPr="00AC0CDB">
        <w:t xml:space="preserve"> calculează BMI, BMR și TDEE din datele ale utilizatorului folosind formula</w:t>
      </w:r>
      <w:r w:rsidR="00AC0CDB">
        <w:t xml:space="preserve"> de calcul</w:t>
      </w:r>
      <w:r w:rsidRPr="00AC0CDB">
        <w:t xml:space="preserve">, diferențiată pe sex. În a doua etapă, regulile sunt sortate crescător după câmpul </w:t>
      </w:r>
      <w:r w:rsidRPr="00AC0CDB">
        <w:rPr>
          <w:b/>
          <w:bCs/>
        </w:rPr>
        <w:t>priority</w:t>
      </w:r>
      <w:r w:rsidRPr="00AC0CDB">
        <w:t xml:space="preserve">. În a treia etapă, algoritmul Forward Chaining aplică o buclă </w:t>
      </w:r>
      <w:r w:rsidRPr="00AC0CDB">
        <w:rPr>
          <w:b/>
          <w:bCs/>
        </w:rPr>
        <w:t>while(changed)</w:t>
      </w:r>
      <w:r w:rsidRPr="00AC0CDB">
        <w:t xml:space="preserve"> care parcurge repetat regulile nesatisfăcute; funcția </w:t>
      </w:r>
      <w:r w:rsidRPr="00AC0CDB">
        <w:rPr>
          <w:b/>
          <w:bCs/>
        </w:rPr>
        <w:t>ruleMatches()</w:t>
      </w:r>
      <w:r w:rsidRPr="00AC0CDB">
        <w:t xml:space="preserve"> verifică dacă toate condițiile unei reguli sunt îndeplinite în tabela curentă de fapte, iar funcția </w:t>
      </w:r>
      <w:r w:rsidRPr="00AC0CDB">
        <w:rPr>
          <w:b/>
          <w:bCs/>
        </w:rPr>
        <w:t>applyConclusion()</w:t>
      </w:r>
      <w:r w:rsidRPr="00AC0CDB">
        <w:t xml:space="preserve"> aplică concluzia, folosind </w:t>
      </w:r>
      <w:r w:rsidRPr="00AC0CDB">
        <w:rPr>
          <w:b/>
          <w:bCs/>
        </w:rPr>
        <w:t>evaluateFormula()</w:t>
      </w:r>
      <w:r w:rsidRPr="00AC0CDB">
        <w:t xml:space="preserve"> pentru evaluarea sigură a expresiilor aritmetice din câmpurile </w:t>
      </w:r>
      <w:r w:rsidRPr="00AC0CDB">
        <w:rPr>
          <w:b/>
          <w:bCs/>
        </w:rPr>
        <w:t>formula</w:t>
      </w:r>
      <w:r w:rsidRPr="00AC0CDB">
        <w:t xml:space="preserve"> și </w:t>
      </w:r>
      <w:r w:rsidRPr="00AC0CDB">
        <w:rPr>
          <w:b/>
          <w:bCs/>
        </w:rPr>
        <w:t>override_calorii</w:t>
      </w:r>
      <w:r w:rsidRPr="00AC0CDB">
        <w:t xml:space="preserve">. Bucla se oprește la punct fix, când nu mai există nicio regulă nouă de activat. În a patra etapă se aplică ajustarea finală </w:t>
      </w:r>
      <w:r w:rsidRPr="00AC0CDB">
        <w:lastRenderedPageBreak/>
        <w:t>de vârstă. Funcția returnează un obiect cu tabela de fapte derivate, un jurnal detaliat al pașilor de inferență și lista regulilor activate.</w:t>
      </w:r>
    </w:p>
    <w:p w14:paraId="1A57643D" w14:textId="214FFF1C" w:rsidR="00F3688D" w:rsidRPr="00AC0CDB" w:rsidRDefault="00000000">
      <w:pPr>
        <w:pStyle w:val="Heading2"/>
        <w:rPr>
          <w:lang w:val="ro-RO"/>
        </w:rPr>
      </w:pPr>
      <w:r w:rsidRPr="00AC0CDB">
        <w:rPr>
          <w:lang w:val="ro-RO"/>
        </w:rPr>
        <w:t xml:space="preserve">3.3 Interfața grafică </w:t>
      </w:r>
    </w:p>
    <w:p w14:paraId="024168EE" w14:textId="5311A20E" w:rsidR="00F3688D" w:rsidRDefault="00000000" w:rsidP="008B7B7E">
      <w:pPr>
        <w:spacing w:before="60" w:after="100"/>
        <w:jc w:val="both"/>
      </w:pPr>
      <w:r w:rsidRPr="00AC0CDB">
        <w:t xml:space="preserve">Interfața este implementată în </w:t>
      </w:r>
      <w:r w:rsidRPr="00AC0CDB">
        <w:rPr>
          <w:b/>
          <w:bCs/>
        </w:rPr>
        <w:t>React</w:t>
      </w:r>
      <w:r w:rsidRPr="00AC0CDB">
        <w:t xml:space="preserve"> folosind componente funcționale și </w:t>
      </w:r>
      <w:r w:rsidRPr="00AC0CDB">
        <w:rPr>
          <w:b/>
          <w:bCs/>
        </w:rPr>
        <w:t>useState</w:t>
      </w:r>
      <w:r w:rsidRPr="00AC0CDB">
        <w:t xml:space="preserve"> pentru gestionarea stării. Formularul colectează datele utilizatorului prin componente reutilizabile (</w:t>
      </w:r>
      <w:r w:rsidRPr="00AC0CDB">
        <w:rPr>
          <w:b/>
          <w:bCs/>
        </w:rPr>
        <w:t>InputNumber</w:t>
      </w:r>
      <w:r w:rsidRPr="00AC0CDB">
        <w:t xml:space="preserve">, </w:t>
      </w:r>
      <w:r w:rsidRPr="00AC0CDB">
        <w:rPr>
          <w:b/>
          <w:bCs/>
        </w:rPr>
        <w:t>SelectButtonGroup</w:t>
      </w:r>
      <w:r w:rsidRPr="00AC0CDB">
        <w:t xml:space="preserve">, </w:t>
      </w:r>
      <w:r w:rsidRPr="00AC0CDB">
        <w:rPr>
          <w:b/>
          <w:bCs/>
        </w:rPr>
        <w:t>ChoiceCard</w:t>
      </w:r>
      <w:r w:rsidRPr="00AC0CDB">
        <w:t xml:space="preserve">), cu validare înainte de declanșarea inferenței. La apăsarea butonului de generare, funcția </w:t>
      </w:r>
      <w:r w:rsidRPr="00AC0CDB">
        <w:rPr>
          <w:b/>
          <w:bCs/>
        </w:rPr>
        <w:t>handleGenerate()</w:t>
      </w:r>
      <w:r w:rsidRPr="00AC0CDB">
        <w:t xml:space="preserve"> apelează </w:t>
      </w:r>
      <w:r w:rsidRPr="00AC0CDB">
        <w:rPr>
          <w:b/>
          <w:bCs/>
        </w:rPr>
        <w:t>forwardChaining()</w:t>
      </w:r>
      <w:r w:rsidRPr="00AC0CDB">
        <w:t xml:space="preserve"> cu datele din formular și actualizează starea cu rezultatele. Secțiunea de rezultate afișează dinamic carduri cu BMI (colorat pe categorii), BMR, TDEE, calorii țintă, distribuția macronutrienților cu gramele calculate, recomandarea de hidratare și frecvența meselor. Dacă mașina de inferență a generat un avertisment (R020 sau R021), acesta este afișa</w:t>
      </w:r>
      <w:r w:rsidR="00AC0CDB">
        <w:t>t</w:t>
      </w:r>
      <w:r w:rsidRPr="00AC0CDB">
        <w:t xml:space="preserve">. O componentă </w:t>
      </w:r>
      <w:r w:rsidRPr="00AC0CDB">
        <w:rPr>
          <w:b/>
          <w:bCs/>
        </w:rPr>
        <w:t>InferenceLog</w:t>
      </w:r>
      <w:r w:rsidRPr="00AC0CDB">
        <w:t xml:space="preserve"> permite</w:t>
      </w:r>
      <w:r w:rsidR="00AC0CDB">
        <w:t xml:space="preserve"> observarea</w:t>
      </w:r>
      <w:r w:rsidRPr="00AC0CDB">
        <w:t xml:space="preserve"> jurnalului complet de inferență, cu toți pașii și regulile activate.</w:t>
      </w:r>
    </w:p>
    <w:p w14:paraId="4338CF0E" w14:textId="77777777" w:rsidR="008B7B7E" w:rsidRPr="00AC0CDB" w:rsidRDefault="008B7B7E" w:rsidP="008B7B7E">
      <w:pPr>
        <w:spacing w:before="60" w:after="100"/>
        <w:jc w:val="both"/>
      </w:pPr>
    </w:p>
    <w:p w14:paraId="22633590" w14:textId="77777777" w:rsidR="00F3688D" w:rsidRPr="00AC0CDB" w:rsidRDefault="00000000">
      <w:pPr>
        <w:pStyle w:val="Heading1"/>
        <w:rPr>
          <w:lang w:val="ro-RO"/>
        </w:rPr>
      </w:pPr>
      <w:r w:rsidRPr="00AC0CDB">
        <w:rPr>
          <w:lang w:val="ro-RO"/>
        </w:rPr>
        <w:t>4. Utilizatorul Țintă și Justificare</w:t>
      </w:r>
    </w:p>
    <w:p w14:paraId="5718DB84" w14:textId="38E7C523" w:rsidR="00F3688D" w:rsidRDefault="00000000" w:rsidP="008B7B7E">
      <w:pPr>
        <w:spacing w:before="60" w:after="100"/>
        <w:jc w:val="both"/>
      </w:pPr>
      <w:r w:rsidRPr="00AC0CDB">
        <w:t xml:space="preserve">Aplicația se adresează </w:t>
      </w:r>
      <w:r w:rsidRPr="00AC0CDB">
        <w:rPr>
          <w:b/>
          <w:bCs/>
        </w:rPr>
        <w:t>persoanelor interesate de un stil de viață sănătos</w:t>
      </w:r>
      <w:r w:rsidRPr="00AC0CDB">
        <w:t xml:space="preserve"> care doresc o orientare rapidă privind necesarul caloric și distribuția macronutrienților, fără a necesita o consultație specializată. Utilizatorul tipic este o persoană cu cunoștințe digitale de bază, cu acces la un browser web, care dorește să înțeleagă cum vârsta, greutatea, înălțimea și nivelul de activitate fizică îi influențează nevoile nutriționale. Interfața simplă și intuitivă, bazată pe selectori vizuali și carduri explicative,aplicația accesibilă atât pentru tineri, cât și pentru persoane de vârstă medie. Sistemul este potrivit și ca instrument educațional în context de promovare a sănătății</w:t>
      </w:r>
      <w:r w:rsidR="008B7B7E">
        <w:t>.</w:t>
      </w:r>
    </w:p>
    <w:p w14:paraId="660E70FE" w14:textId="77777777" w:rsidR="008B7B7E" w:rsidRPr="00AC0CDB" w:rsidRDefault="008B7B7E" w:rsidP="008B7B7E">
      <w:pPr>
        <w:spacing w:before="60" w:after="100"/>
        <w:jc w:val="both"/>
      </w:pPr>
    </w:p>
    <w:p w14:paraId="6FAA43E5" w14:textId="77777777" w:rsidR="00F3688D" w:rsidRPr="00AC0CDB" w:rsidRDefault="00000000">
      <w:pPr>
        <w:pStyle w:val="Heading1"/>
        <w:rPr>
          <w:lang w:val="ro-RO"/>
        </w:rPr>
      </w:pPr>
      <w:r w:rsidRPr="00AC0CDB">
        <w:rPr>
          <w:lang w:val="ro-RO"/>
        </w:rPr>
        <w:t>5. Concluzii, Limitări și Dezvoltări Ulterioare</w:t>
      </w:r>
    </w:p>
    <w:p w14:paraId="4D63A6B7" w14:textId="77777777" w:rsidR="008B7B7E" w:rsidRDefault="00000000">
      <w:pPr>
        <w:spacing w:before="60" w:after="100"/>
        <w:jc w:val="both"/>
      </w:pPr>
      <w:r w:rsidRPr="00AC0CDB">
        <w:t xml:space="preserve">Sistemul expert implementat demonstrează eficiența metodei Forward Chaining pentru raționamentul bazat pe reguli în domeniul nutriției, producând recomandări </w:t>
      </w:r>
      <w:r w:rsidR="008B7B7E">
        <w:t>reale</w:t>
      </w:r>
      <w:r w:rsidRPr="00AC0CDB">
        <w:t xml:space="preserve">. Printre </w:t>
      </w:r>
      <w:r w:rsidRPr="00AC0CDB">
        <w:rPr>
          <w:b/>
          <w:bCs/>
        </w:rPr>
        <w:t>limitările actuale</w:t>
      </w:r>
      <w:r w:rsidRPr="00AC0CDB">
        <w:t xml:space="preserve"> se numără: absența </w:t>
      </w:r>
      <w:r w:rsidR="008B7B7E">
        <w:t xml:space="preserve">salvari </w:t>
      </w:r>
      <w:r w:rsidRPr="00AC0CDB">
        <w:t>datelor (nu există stocare a istoricului utilizatorului), setul relativ restrâns de reguli care nu acoperă cazuri medicale speciale (diabet, boli cardiovasculare, sarcină), și faptul că formulele nutriționale utilizate sunt estimări  cu marjă de eroare. De asemenea, sistemul nu ia în considerare preferințele alimentare, alergiile sau restricțiile dietetice.</w:t>
      </w:r>
    </w:p>
    <w:p w14:paraId="71FBAC70" w14:textId="51FDA1A0" w:rsidR="00F3688D" w:rsidRPr="00AC0CDB" w:rsidRDefault="00000000">
      <w:pPr>
        <w:spacing w:before="60" w:after="100"/>
        <w:jc w:val="both"/>
      </w:pPr>
      <w:r w:rsidRPr="00AC0CDB">
        <w:t xml:space="preserve">Ca </w:t>
      </w:r>
      <w:r w:rsidRPr="00AC0CDB">
        <w:rPr>
          <w:b/>
          <w:bCs/>
        </w:rPr>
        <w:t>direcții de dezvoltare ulterioară</w:t>
      </w:r>
      <w:r w:rsidRPr="00AC0CDB">
        <w:t>: extinderea bazei de cunoștințe cu reguli pentru cazuri medicale speciale, adăugarea unui modul de generare a unui plan de mese săptămânal, integrarea unui cont de utilizator cu urmărirea progresului în timp, implementarea unui mecanism de explicare mai detaliat</w:t>
      </w:r>
      <w:r w:rsidR="008B7B7E">
        <w:t>.</w:t>
      </w:r>
    </w:p>
    <w:p w14:paraId="7EF68B36" w14:textId="02B3704C" w:rsidR="00F3688D" w:rsidRDefault="00F3688D" w:rsidP="008B7B7E">
      <w:pPr>
        <w:spacing w:before="120"/>
      </w:pPr>
    </w:p>
    <w:sectPr w:rsidR="00F3688D">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2279E"/>
    <w:multiLevelType w:val="hybridMultilevel"/>
    <w:tmpl w:val="09EAB68A"/>
    <w:lvl w:ilvl="0" w:tplc="751AC4B0">
      <w:start w:val="1"/>
      <w:numFmt w:val="bullet"/>
      <w:lvlText w:val="•"/>
      <w:lvlJc w:val="left"/>
      <w:pPr>
        <w:ind w:left="720" w:hanging="360"/>
      </w:pPr>
    </w:lvl>
    <w:lvl w:ilvl="1" w:tplc="0F220FAC">
      <w:numFmt w:val="decimal"/>
      <w:lvlText w:val=""/>
      <w:lvlJc w:val="left"/>
    </w:lvl>
    <w:lvl w:ilvl="2" w:tplc="8E526CAE">
      <w:numFmt w:val="decimal"/>
      <w:lvlText w:val=""/>
      <w:lvlJc w:val="left"/>
    </w:lvl>
    <w:lvl w:ilvl="3" w:tplc="B2F27AA6">
      <w:numFmt w:val="decimal"/>
      <w:lvlText w:val=""/>
      <w:lvlJc w:val="left"/>
    </w:lvl>
    <w:lvl w:ilvl="4" w:tplc="AB8EE2E4">
      <w:numFmt w:val="decimal"/>
      <w:lvlText w:val=""/>
      <w:lvlJc w:val="left"/>
    </w:lvl>
    <w:lvl w:ilvl="5" w:tplc="F5F66EB4">
      <w:numFmt w:val="decimal"/>
      <w:lvlText w:val=""/>
      <w:lvlJc w:val="left"/>
    </w:lvl>
    <w:lvl w:ilvl="6" w:tplc="6764CE20">
      <w:numFmt w:val="decimal"/>
      <w:lvlText w:val=""/>
      <w:lvlJc w:val="left"/>
    </w:lvl>
    <w:lvl w:ilvl="7" w:tplc="243445FC">
      <w:numFmt w:val="decimal"/>
      <w:lvlText w:val=""/>
      <w:lvlJc w:val="left"/>
    </w:lvl>
    <w:lvl w:ilvl="8" w:tplc="439C4CE2">
      <w:numFmt w:val="decimal"/>
      <w:lvlText w:val=""/>
      <w:lvlJc w:val="left"/>
    </w:lvl>
  </w:abstractNum>
  <w:abstractNum w:abstractNumId="1" w15:restartNumberingAfterBreak="0">
    <w:nsid w:val="2C740698"/>
    <w:multiLevelType w:val="hybridMultilevel"/>
    <w:tmpl w:val="FFC25CF2"/>
    <w:lvl w:ilvl="0" w:tplc="4A4EF3BA">
      <w:start w:val="1"/>
      <w:numFmt w:val="bullet"/>
      <w:lvlText w:val="●"/>
      <w:lvlJc w:val="left"/>
      <w:pPr>
        <w:ind w:left="720" w:hanging="360"/>
      </w:pPr>
    </w:lvl>
    <w:lvl w:ilvl="1" w:tplc="AC3CE634">
      <w:start w:val="1"/>
      <w:numFmt w:val="bullet"/>
      <w:lvlText w:val="○"/>
      <w:lvlJc w:val="left"/>
      <w:pPr>
        <w:ind w:left="1440" w:hanging="360"/>
      </w:pPr>
    </w:lvl>
    <w:lvl w:ilvl="2" w:tplc="0A222618">
      <w:start w:val="1"/>
      <w:numFmt w:val="bullet"/>
      <w:lvlText w:val="■"/>
      <w:lvlJc w:val="left"/>
      <w:pPr>
        <w:ind w:left="2160" w:hanging="360"/>
      </w:pPr>
    </w:lvl>
    <w:lvl w:ilvl="3" w:tplc="F48051FC">
      <w:start w:val="1"/>
      <w:numFmt w:val="bullet"/>
      <w:lvlText w:val="●"/>
      <w:lvlJc w:val="left"/>
      <w:pPr>
        <w:ind w:left="2880" w:hanging="360"/>
      </w:pPr>
    </w:lvl>
    <w:lvl w:ilvl="4" w:tplc="9F8AE550">
      <w:start w:val="1"/>
      <w:numFmt w:val="bullet"/>
      <w:lvlText w:val="○"/>
      <w:lvlJc w:val="left"/>
      <w:pPr>
        <w:ind w:left="3600" w:hanging="360"/>
      </w:pPr>
    </w:lvl>
    <w:lvl w:ilvl="5" w:tplc="EBD28E10">
      <w:start w:val="1"/>
      <w:numFmt w:val="bullet"/>
      <w:lvlText w:val="■"/>
      <w:lvlJc w:val="left"/>
      <w:pPr>
        <w:ind w:left="4320" w:hanging="360"/>
      </w:pPr>
    </w:lvl>
    <w:lvl w:ilvl="6" w:tplc="A7BC72A6">
      <w:start w:val="1"/>
      <w:numFmt w:val="bullet"/>
      <w:lvlText w:val="●"/>
      <w:lvlJc w:val="left"/>
      <w:pPr>
        <w:ind w:left="5040" w:hanging="360"/>
      </w:pPr>
    </w:lvl>
    <w:lvl w:ilvl="7" w:tplc="AE6AB29C">
      <w:start w:val="1"/>
      <w:numFmt w:val="bullet"/>
      <w:lvlText w:val="●"/>
      <w:lvlJc w:val="left"/>
      <w:pPr>
        <w:ind w:left="5760" w:hanging="360"/>
      </w:pPr>
    </w:lvl>
    <w:lvl w:ilvl="8" w:tplc="78887BB8">
      <w:start w:val="1"/>
      <w:numFmt w:val="bullet"/>
      <w:lvlText w:val="●"/>
      <w:lvlJc w:val="left"/>
      <w:pPr>
        <w:ind w:left="6480" w:hanging="360"/>
      </w:pPr>
    </w:lvl>
  </w:abstractNum>
  <w:num w:numId="1" w16cid:durableId="208639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88D"/>
    <w:rsid w:val="00186321"/>
    <w:rsid w:val="008B7B7E"/>
    <w:rsid w:val="00AC0CDB"/>
    <w:rsid w:val="00F368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92CE1"/>
  <w15:docId w15:val="{F272063C-0BF3-4FA2-93A0-F76FFA112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ro-RO"/>
    </w:rPr>
  </w:style>
  <w:style w:type="paragraph" w:styleId="Heading1">
    <w:name w:val="heading 1"/>
    <w:uiPriority w:val="9"/>
    <w:qFormat/>
    <w:pPr>
      <w:spacing w:before="280" w:after="120"/>
      <w:outlineLvl w:val="0"/>
    </w:pPr>
    <w:rPr>
      <w:b/>
      <w:bCs/>
      <w:color w:val="0F766E"/>
      <w:sz w:val="28"/>
      <w:szCs w:val="28"/>
    </w:rPr>
  </w:style>
  <w:style w:type="paragraph" w:styleId="Heading2">
    <w:name w:val="heading 2"/>
    <w:uiPriority w:val="9"/>
    <w:unhideWhenUsed/>
    <w:qFormat/>
    <w:pPr>
      <w:spacing w:before="200" w:after="80"/>
      <w:outlineLvl w:val="1"/>
    </w:pPr>
    <w:rPr>
      <w:b/>
      <w:bCs/>
      <w:color w:val="1F2937"/>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712</Words>
  <Characters>4705</Characters>
  <Application>Microsoft Office Word</Application>
  <DocSecurity>0</DocSecurity>
  <Lines>79</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Alexandru-George Duță</cp:lastModifiedBy>
  <cp:revision>2</cp:revision>
  <dcterms:created xsi:type="dcterms:W3CDTF">2026-04-13T17:41:00Z</dcterms:created>
  <dcterms:modified xsi:type="dcterms:W3CDTF">2026-04-13T17:57:00Z</dcterms:modified>
</cp:coreProperties>
</file>