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DF58" w14:textId="77777777" w:rsidR="00F10DDA" w:rsidRDefault="00000000">
      <w:pPr>
        <w:spacing w:after="120"/>
        <w:jc w:val="center"/>
      </w:pPr>
      <w:r>
        <w:rPr>
          <w:b/>
          <w:bCs/>
          <w:color w:val="1F4E3D"/>
          <w:sz w:val="44"/>
          <w:szCs w:val="44"/>
        </w:rPr>
        <w:t xml:space="preserve">Charte fonctionnelle — </w:t>
      </w:r>
      <w:proofErr w:type="spellStart"/>
      <w:r>
        <w:rPr>
          <w:b/>
          <w:bCs/>
          <w:color w:val="1F4E3D"/>
          <w:sz w:val="44"/>
          <w:szCs w:val="44"/>
        </w:rPr>
        <w:t>PaléoSén</w:t>
      </w:r>
      <w:proofErr w:type="spellEnd"/>
    </w:p>
    <w:p w14:paraId="00AAF489" w14:textId="77777777" w:rsidR="00F10DDA" w:rsidRDefault="00000000">
      <w:pPr>
        <w:spacing w:after="300"/>
        <w:jc w:val="center"/>
      </w:pPr>
      <w:r>
        <w:rPr>
          <w:i/>
          <w:iCs/>
          <w:color w:val="5A5A5A"/>
          <w:sz w:val="22"/>
          <w:szCs w:val="22"/>
        </w:rPr>
        <w:t>Plateforme de référence sur les microfossiles du Sénégal (ostracodes, foraminifères et autres groupes)</w:t>
      </w:r>
    </w:p>
    <w:p w14:paraId="3973DCC6" w14:textId="77777777" w:rsidR="00F10DDA" w:rsidRDefault="00F10DDA">
      <w:pPr>
        <w:pBdr>
          <w:bottom w:val="single" w:sz="6" w:space="1" w:color="CCCCCC"/>
        </w:pBdr>
        <w:spacing w:after="200"/>
      </w:pPr>
    </w:p>
    <w:p w14:paraId="2CE969D4" w14:textId="77777777" w:rsidR="00F10DDA" w:rsidRDefault="00000000">
      <w:pPr>
        <w:pStyle w:val="Titre1"/>
        <w:spacing w:before="400" w:after="200"/>
      </w:pPr>
      <w:r>
        <w:rPr>
          <w:b/>
          <w:bCs/>
          <w:color w:val="1F4E3D"/>
          <w:sz w:val="30"/>
          <w:szCs w:val="30"/>
        </w:rPr>
        <w:t>1. Objectif du site</w:t>
      </w:r>
    </w:p>
    <w:p w14:paraId="118DBD6A" w14:textId="77777777" w:rsidR="00F10DDA" w:rsidRDefault="00000000">
      <w:pPr>
        <w:spacing w:after="160"/>
      </w:pPr>
      <w:proofErr w:type="spellStart"/>
      <w:r>
        <w:t>PaléoSén</w:t>
      </w:r>
      <w:proofErr w:type="spellEnd"/>
      <w:r>
        <w:t xml:space="preserve"> a pour vocation de centraliser, structurer et rendre accessible les données paléontologiques issues de la littérature scientifique sur les bassins sédimentaires sénégalais, à destination de la communauté scientifique (chercheurs, doctorants, étudiants en géosciences).</w:t>
      </w:r>
    </w:p>
    <w:p w14:paraId="05A8455B" w14:textId="77777777" w:rsidR="00F10DDA" w:rsidRDefault="00000000">
      <w:pPr>
        <w:pStyle w:val="Titre1"/>
        <w:spacing w:before="400" w:after="200"/>
      </w:pPr>
      <w:r>
        <w:rPr>
          <w:b/>
          <w:bCs/>
          <w:color w:val="1F4E3D"/>
          <w:sz w:val="30"/>
          <w:szCs w:val="30"/>
        </w:rPr>
        <w:t>2. Public cible</w:t>
      </w:r>
    </w:p>
    <w:p w14:paraId="2379703A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Chercheurs en micropaléontologie et stratigraphie</w:t>
      </w:r>
    </w:p>
    <w:p w14:paraId="04D33572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Étudiants de Licence/Master/Doctorat en géosciences</w:t>
      </w:r>
    </w:p>
    <w:p w14:paraId="35B5F7C2" w14:textId="48ACDB46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Institutions académiques </w:t>
      </w:r>
    </w:p>
    <w:p w14:paraId="20EEA0CD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Communauté scientifique internationale travaillant sur les bassins ouest-africains</w:t>
      </w:r>
    </w:p>
    <w:p w14:paraId="7D9B8B58" w14:textId="77777777" w:rsidR="00F10DDA" w:rsidRDefault="00000000">
      <w:pPr>
        <w:pStyle w:val="Titre1"/>
        <w:spacing w:before="400" w:after="200"/>
      </w:pPr>
      <w:r>
        <w:rPr>
          <w:b/>
          <w:bCs/>
          <w:color w:val="1F4E3D"/>
          <w:sz w:val="30"/>
          <w:szCs w:val="30"/>
        </w:rPr>
        <w:t>3. Modules et fonctionnalités</w:t>
      </w:r>
    </w:p>
    <w:p w14:paraId="533DBBFC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>3.1 Base de données taxonomique</w:t>
      </w:r>
    </w:p>
    <w:p w14:paraId="026186B2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Fiches par taxon (genre/espèce) reprenant le schéma à 18 colonnes déjà en usage : taxonomie, localité, âge géologique, morphologie, paléoenvironnement, référence bibliographique, etc.</w:t>
      </w:r>
    </w:p>
    <w:p w14:paraId="72790D76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Organisation par groupe taxonomique (ostracodes, foraminifères, autres groupes à venir)</w:t>
      </w:r>
    </w:p>
    <w:p w14:paraId="29066DEB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Import/export des données depuis les classeurs Excel existants (un classeur par groupe/article)</w:t>
      </w:r>
    </w:p>
    <w:p w14:paraId="76B39920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>3.2 Recherche et filtres avancés</w:t>
      </w:r>
    </w:p>
    <w:p w14:paraId="630648C6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Recherche par nom scientifique, genre, famille</w:t>
      </w:r>
    </w:p>
    <w:p w14:paraId="0322C05B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Filtres croisés : âge géologique (Paléocène, Paléogène, etc.), localité (horst de Diass, région de Mbour-Joal…), environnement de dépôt</w:t>
      </w:r>
    </w:p>
    <w:p w14:paraId="673A102A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Recherche par auteur/référence bibliographique (ex. Sarr 1998, 1999)</w:t>
      </w:r>
    </w:p>
    <w:p w14:paraId="398B0270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Recherche par unité stratigraphique (formation, bassin) — inspiré du module « </w:t>
      </w:r>
      <w:proofErr w:type="spellStart"/>
      <w:r>
        <w:t>Stratigraphic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» de </w:t>
      </w:r>
      <w:proofErr w:type="spellStart"/>
      <w:r>
        <w:t>PaleoBioDB</w:t>
      </w:r>
      <w:proofErr w:type="spellEnd"/>
    </w:p>
    <w:p w14:paraId="24E951BD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Recherche par « collection</w:t>
      </w:r>
      <w:proofErr w:type="gramStart"/>
      <w:r>
        <w:t xml:space="preserve"> »/</w:t>
      </w:r>
      <w:proofErr w:type="gramEnd"/>
      <w:r>
        <w:t>site de prélèvement, regroupant plusieurs occurrences d'un même point géographique</w:t>
      </w:r>
    </w:p>
    <w:p w14:paraId="25F18B57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Navigateur de classification taxonomique (arbre genre → famille → ordre), à la manière du « Taxa Browser » de </w:t>
      </w:r>
      <w:proofErr w:type="spellStart"/>
      <w:r>
        <w:t>PaleoBioDB</w:t>
      </w:r>
      <w:proofErr w:type="spellEnd"/>
    </w:p>
    <w:p w14:paraId="3E7B4D9D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>3.3 Fiches fossiles détaillées</w:t>
      </w:r>
    </w:p>
    <w:p w14:paraId="1B5D650B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Description morphologique</w:t>
      </w:r>
    </w:p>
    <w:p w14:paraId="68FA04C6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Localité type et coordonnées géographiques</w:t>
      </w:r>
    </w:p>
    <w:p w14:paraId="5A961F75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Contexte stratigraphique et </w:t>
      </w:r>
      <w:proofErr w:type="spellStart"/>
      <w:r>
        <w:t>paléoenvironnemental</w:t>
      </w:r>
      <w:proofErr w:type="spellEnd"/>
    </w:p>
    <w:p w14:paraId="4C41AB30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Illustrations (photos MEB, dessins)</w:t>
      </w:r>
    </w:p>
    <w:p w14:paraId="0E51288E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Visualisation 3D interactive quand disponible (</w:t>
      </w:r>
      <w:proofErr w:type="spellStart"/>
      <w:r>
        <w:t>viewer</w:t>
      </w:r>
      <w:proofErr w:type="spellEnd"/>
      <w:r>
        <w:t xml:space="preserve"> type Three.js)</w:t>
      </w:r>
    </w:p>
    <w:p w14:paraId="5A8D9A70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lastRenderedPageBreak/>
        <w:t>3.4 Cartographie interactive</w:t>
      </w:r>
    </w:p>
    <w:p w14:paraId="056AA623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Carte des localités fossilifères du Sénégal</w:t>
      </w:r>
    </w:p>
    <w:p w14:paraId="67745252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Superposition avec les bassins sédimentaires et unités géologiques</w:t>
      </w:r>
    </w:p>
    <w:p w14:paraId="74870A2C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Lien direct fiche fossile ↔ point sur la carte</w:t>
      </w:r>
    </w:p>
    <w:p w14:paraId="7B9E39E2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Filtrage de la carte par intervalle de temps géologique (curseur/frise chronologique), sur le modèle du module « Navigator » de </w:t>
      </w:r>
      <w:proofErr w:type="spellStart"/>
      <w:r>
        <w:t>PaleoBioDB</w:t>
      </w:r>
      <w:proofErr w:type="spellEnd"/>
    </w:p>
    <w:p w14:paraId="001F95B5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Regroupement des occurrences proches en « clusters » consultables au clic, pour ne pas surcharger la carte</w:t>
      </w:r>
    </w:p>
    <w:p w14:paraId="56BEE4F1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(Option avancée, à envisager en phase ultérieure) reconstruction paléogéographique du Sénégal à l'échelle des temps géologiques concernés, via un service externe de rotation des plaques (type </w:t>
      </w:r>
      <w:proofErr w:type="spellStart"/>
      <w:r>
        <w:t>GPlates</w:t>
      </w:r>
      <w:proofErr w:type="spellEnd"/>
      <w:r>
        <w:t>)</w:t>
      </w:r>
    </w:p>
    <w:p w14:paraId="7461E77D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>3.5 Bibliothèque bibliographique</w:t>
      </w:r>
    </w:p>
    <w:p w14:paraId="6AFA8AE3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Répertoire des articles source (avec métadonnées complètes)</w:t>
      </w:r>
    </w:p>
    <w:p w14:paraId="28AF16A2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Liens vers les publications originales (DOI, archives)</w:t>
      </w:r>
    </w:p>
    <w:p w14:paraId="60041B8B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Historique des articles déjà intégrés à la base (traçabilité du dépouillement)</w:t>
      </w:r>
    </w:p>
    <w:p w14:paraId="18A18368" w14:textId="77777777" w:rsidR="00F10DDA" w:rsidRDefault="00000000">
      <w:pPr>
        <w:pStyle w:val="Titre2"/>
        <w:spacing w:before="260" w:after="140"/>
        <w:rPr>
          <w:b/>
          <w:bCs/>
          <w:color w:val="2E6B57"/>
          <w:sz w:val="24"/>
          <w:szCs w:val="24"/>
        </w:rPr>
      </w:pPr>
      <w:r>
        <w:rPr>
          <w:b/>
          <w:bCs/>
          <w:color w:val="2E6B57"/>
          <w:sz w:val="24"/>
          <w:szCs w:val="24"/>
        </w:rPr>
        <w:t>3.6 Visualisation 3D des spécimens</w:t>
      </w:r>
    </w:p>
    <w:p w14:paraId="7EAB96A9" w14:textId="6A52245C" w:rsidR="00DF2566" w:rsidRPr="00DF2566" w:rsidRDefault="00DF2566" w:rsidP="00DF2566">
      <w:pPr>
        <w:pStyle w:val="Titre2"/>
        <w:numPr>
          <w:ilvl w:val="0"/>
          <w:numId w:val="2"/>
        </w:numPr>
        <w:spacing w:before="260" w:after="140"/>
        <w:rPr>
          <w:color w:val="auto"/>
          <w:sz w:val="22"/>
          <w:szCs w:val="22"/>
        </w:rPr>
      </w:pPr>
      <w:r w:rsidRPr="00DF2566">
        <w:rPr>
          <w:color w:val="auto"/>
          <w:sz w:val="22"/>
          <w:szCs w:val="22"/>
        </w:rPr>
        <w:t>A venir</w:t>
      </w:r>
    </w:p>
    <w:p w14:paraId="343D60E0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>3.7 Espace contributeur</w:t>
      </w:r>
    </w:p>
    <w:p w14:paraId="31BA30EA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Soumission de nouvelles données par des chercheurs habilités</w:t>
      </w:r>
    </w:p>
    <w:p w14:paraId="4EF35C0C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Circuit de validation/relecture avant publication</w:t>
      </w:r>
    </w:p>
    <w:p w14:paraId="691F066F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Gestion des rôles (administrateur, contributeur, lecteur)</w:t>
      </w:r>
    </w:p>
    <w:p w14:paraId="6646B480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>3.8 Export et interopérabilité</w:t>
      </w:r>
    </w:p>
    <w:p w14:paraId="41878D15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Export de fiches en PDF</w:t>
      </w:r>
    </w:p>
    <w:p w14:paraId="083C3EC4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Export de jeux de données en CSV/TSV/Excel/JSON (formats multiples, comme sur </w:t>
      </w:r>
      <w:proofErr w:type="spellStart"/>
      <w:r>
        <w:t>PaleoBioDB</w:t>
      </w:r>
      <w:proofErr w:type="spellEnd"/>
      <w:r>
        <w:t>)</w:t>
      </w:r>
    </w:p>
    <w:p w14:paraId="0A409A68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Export des références bibliographiques au format RIS (compatible Zotero/</w:t>
      </w:r>
      <w:proofErr w:type="spellStart"/>
      <w:r>
        <w:t>EndNote</w:t>
      </w:r>
      <w:proofErr w:type="spellEnd"/>
      <w:r>
        <w:t>)</w:t>
      </w:r>
    </w:p>
    <w:p w14:paraId="6B7039E8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Compatibilité avec formats standards de la discipline (si besoin, Darwin Core)</w:t>
      </w:r>
    </w:p>
    <w:p w14:paraId="4B6A66FA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>3.9 Glossaire scientifique</w:t>
      </w:r>
    </w:p>
    <w:p w14:paraId="4BFD5BA9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Définitions des termes techniques (morphologie, stratigraphie, paléoenvironnements)</w:t>
      </w:r>
    </w:p>
    <w:p w14:paraId="51B2503D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>3.10 Multilinguisme</w:t>
      </w:r>
    </w:p>
    <w:p w14:paraId="40BD18F0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Version française (par défaut)</w:t>
      </w:r>
    </w:p>
    <w:p w14:paraId="317294CB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Version anglaise pour audience internationale</w:t>
      </w:r>
    </w:p>
    <w:p w14:paraId="13C2EEEA" w14:textId="5F59098D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 xml:space="preserve">3.11 Analyses statistiques et courbes de diversité (module avancé, inspiré de </w:t>
      </w:r>
      <w:proofErr w:type="spellStart"/>
      <w:r>
        <w:rPr>
          <w:b/>
          <w:bCs/>
          <w:color w:val="2E6B57"/>
          <w:sz w:val="24"/>
          <w:szCs w:val="24"/>
        </w:rPr>
        <w:t>PaleoBioDB</w:t>
      </w:r>
      <w:proofErr w:type="spellEnd"/>
      <w:r w:rsidR="00DF2566">
        <w:rPr>
          <w:b/>
          <w:bCs/>
          <w:color w:val="2E6B57"/>
          <w:sz w:val="24"/>
          <w:szCs w:val="24"/>
        </w:rPr>
        <w:t xml:space="preserve"> non obligatoire</w:t>
      </w:r>
      <w:r>
        <w:rPr>
          <w:b/>
          <w:bCs/>
          <w:color w:val="2E6B57"/>
          <w:sz w:val="24"/>
          <w:szCs w:val="24"/>
        </w:rPr>
        <w:t>)</w:t>
      </w:r>
    </w:p>
    <w:p w14:paraId="38543F34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Génération de courbes de diversité taxonomique par intervalle de temps, à partir des occurrences filtrées (niveau genre/famille)</w:t>
      </w:r>
    </w:p>
    <w:p w14:paraId="13099093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Calcul simple de taux d'apparition/disparition de taxons par intervalle</w:t>
      </w:r>
    </w:p>
    <w:p w14:paraId="70FC1358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Export du graphique et des données sous-jacentes</w:t>
      </w:r>
    </w:p>
    <w:p w14:paraId="117EFCCD" w14:textId="77777777" w:rsidR="00F10DDA" w:rsidRDefault="00000000">
      <w:pPr>
        <w:pStyle w:val="Titre2"/>
        <w:spacing w:before="260" w:after="140"/>
      </w:pPr>
      <w:r>
        <w:rPr>
          <w:b/>
          <w:bCs/>
          <w:color w:val="2E6B57"/>
          <w:sz w:val="24"/>
          <w:szCs w:val="24"/>
        </w:rPr>
        <w:t xml:space="preserve">3.12 API et accès programmatique (module avancé, inspiré de </w:t>
      </w:r>
      <w:proofErr w:type="spellStart"/>
      <w:r>
        <w:rPr>
          <w:b/>
          <w:bCs/>
          <w:color w:val="2E6B57"/>
          <w:sz w:val="24"/>
          <w:szCs w:val="24"/>
        </w:rPr>
        <w:t>PaleoBioDB</w:t>
      </w:r>
      <w:proofErr w:type="spellEnd"/>
      <w:r>
        <w:rPr>
          <w:b/>
          <w:bCs/>
          <w:color w:val="2E6B57"/>
          <w:sz w:val="24"/>
          <w:szCs w:val="24"/>
        </w:rPr>
        <w:t>)</w:t>
      </w:r>
    </w:p>
    <w:p w14:paraId="4FB4F241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API en lecture permettant d'interroger la base par taxon, localité, âge géologique ou référence</w:t>
      </w:r>
    </w:p>
    <w:p w14:paraId="6BBE80C7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lastRenderedPageBreak/>
        <w:t>Réponses structurées (JSON/CSV) pour usage externe (scripts R/Python, autres outils de recherche)</w:t>
      </w:r>
    </w:p>
    <w:p w14:paraId="065F31FB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Documentation de l'API destinée aux chercheurs souhaitant réutiliser les données</w:t>
      </w:r>
    </w:p>
    <w:p w14:paraId="0D0D1C04" w14:textId="77777777" w:rsidR="00F10DDA" w:rsidRDefault="00000000">
      <w:pPr>
        <w:pStyle w:val="Titre1"/>
        <w:spacing w:before="400" w:after="200"/>
      </w:pPr>
      <w:r>
        <w:rPr>
          <w:b/>
          <w:bCs/>
          <w:color w:val="1F4E3D"/>
          <w:sz w:val="30"/>
          <w:szCs w:val="30"/>
        </w:rPr>
        <w:t>4. Architecture technique envisagée</w:t>
      </w:r>
    </w:p>
    <w:p w14:paraId="4AF870E9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Base de données structurée (relationnelle) alimentée depuis les classeurs Excel existants</w:t>
      </w:r>
    </w:p>
    <w:p w14:paraId="381081F9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Interface web responsive</w:t>
      </w:r>
    </w:p>
    <w:p w14:paraId="6C56F370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Module cartographique (type Leaflet/</w:t>
      </w:r>
      <w:proofErr w:type="spellStart"/>
      <w:r>
        <w:t>Mapbox</w:t>
      </w:r>
      <w:proofErr w:type="spellEnd"/>
      <w:r>
        <w:t>)</w:t>
      </w:r>
    </w:p>
    <w:p w14:paraId="5EC6028D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Module 3D (Three.js ou équivalent)</w:t>
      </w:r>
    </w:p>
    <w:p w14:paraId="6D5CC698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Système de gestion des droits utilisateurs</w:t>
      </w:r>
    </w:p>
    <w:p w14:paraId="1B3B9A3A" w14:textId="77777777" w:rsidR="00F10DDA" w:rsidRDefault="00000000">
      <w:pPr>
        <w:pStyle w:val="Titre1"/>
        <w:spacing w:before="400" w:after="200"/>
      </w:pPr>
      <w:r>
        <w:rPr>
          <w:b/>
          <w:bCs/>
          <w:color w:val="1F4E3D"/>
          <w:sz w:val="30"/>
          <w:szCs w:val="30"/>
        </w:rPr>
        <w:t>5. Gouvernance des données</w:t>
      </w:r>
    </w:p>
    <w:p w14:paraId="589850DA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Chaque fiche doit indiquer sa source bibliographique complète</w:t>
      </w:r>
    </w:p>
    <w:p w14:paraId="6662945C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Toute donnée intégrée doit être validée par un responsable scientifique</w:t>
      </w:r>
    </w:p>
    <w:p w14:paraId="6EE26D1A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Versioning des mises à jour de fiches</w:t>
      </w:r>
    </w:p>
    <w:p w14:paraId="7F807CEC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Choix d'une licence claire pour la réutilisation des données (ex. CC BY 4.0, comme sur </w:t>
      </w:r>
      <w:proofErr w:type="spellStart"/>
      <w:r>
        <w:t>PaleoBioDB</w:t>
      </w:r>
      <w:proofErr w:type="spellEnd"/>
      <w:r>
        <w:t>), à trancher selon la politique de l'établissement</w:t>
      </w:r>
    </w:p>
    <w:p w14:paraId="7F455AF3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(Option) attribution d'un identifiant de citation par jeu de données, pour permettre aux chercheurs de citer </w:t>
      </w:r>
      <w:proofErr w:type="spellStart"/>
      <w:r>
        <w:t>PaléoSén</w:t>
      </w:r>
      <w:proofErr w:type="spellEnd"/>
      <w:r>
        <w:t xml:space="preserve"> dans leurs publications</w:t>
      </w:r>
    </w:p>
    <w:p w14:paraId="22BF07CD" w14:textId="77777777" w:rsidR="00F10DDA" w:rsidRDefault="00000000">
      <w:pPr>
        <w:pStyle w:val="Titre1"/>
        <w:spacing w:before="400" w:after="200"/>
      </w:pPr>
      <w:r>
        <w:rPr>
          <w:b/>
          <w:bCs/>
          <w:color w:val="1F4E3D"/>
          <w:sz w:val="30"/>
          <w:szCs w:val="30"/>
        </w:rPr>
        <w:t xml:space="preserve">6. Ressources pédagogiques et communautaires (inspiré de </w:t>
      </w:r>
      <w:proofErr w:type="spellStart"/>
      <w:r>
        <w:rPr>
          <w:b/>
          <w:bCs/>
          <w:color w:val="1F4E3D"/>
          <w:sz w:val="30"/>
          <w:szCs w:val="30"/>
        </w:rPr>
        <w:t>PaleoBioDB</w:t>
      </w:r>
      <w:proofErr w:type="spellEnd"/>
      <w:r>
        <w:rPr>
          <w:b/>
          <w:bCs/>
          <w:color w:val="1F4E3D"/>
          <w:sz w:val="30"/>
          <w:szCs w:val="30"/>
        </w:rPr>
        <w:t>)</w:t>
      </w:r>
    </w:p>
    <w:p w14:paraId="159B1021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Page « Ressources » : tutoriels d'utilisation de la base, guides de saisie de données</w:t>
      </w:r>
    </w:p>
    <w:p w14:paraId="78C66E7E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Documentation destinée aux nouveaux contributeurs (comment soumettre une fiche)</w:t>
      </w:r>
    </w:p>
    <w:p w14:paraId="6F89D3ED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À terme, possibilité de proposer des supports pédagogiques pour l'enseignement de la micropaléontologie</w:t>
      </w:r>
    </w:p>
    <w:p w14:paraId="15942A8E" w14:textId="77777777" w:rsidR="00F10DDA" w:rsidRDefault="00000000">
      <w:pPr>
        <w:pStyle w:val="Titre1"/>
        <w:spacing w:before="400" w:after="200"/>
      </w:pPr>
      <w:r>
        <w:rPr>
          <w:b/>
          <w:bCs/>
          <w:color w:val="1F4E3D"/>
          <w:sz w:val="30"/>
          <w:szCs w:val="30"/>
        </w:rPr>
        <w:t>7. Feuille de route indicative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200"/>
      </w:tblGrid>
      <w:tr w:rsidR="00F10DDA" w14:paraId="1DA88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6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13C03" w14:textId="77777777" w:rsidR="00F10DDA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8200" w:type="dxa"/>
            <w:shd w:val="clear" w:color="auto" w:fill="2E6B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8224C" w14:textId="77777777" w:rsidR="00F10DDA" w:rsidRDefault="00000000">
            <w:r>
              <w:rPr>
                <w:b/>
                <w:bCs/>
                <w:color w:val="FFFFFF"/>
              </w:rPr>
              <w:t>Contenu</w:t>
            </w:r>
          </w:p>
        </w:tc>
      </w:tr>
      <w:tr w:rsidR="00F10DDA" w14:paraId="7F1194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B8A12" w14:textId="77777777" w:rsidR="00F10DDA" w:rsidRDefault="00000000">
            <w:r>
              <w:t>Phase 1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CD198" w14:textId="77777777" w:rsidR="00F10DDA" w:rsidRDefault="00000000">
            <w:r>
              <w:t>Structuration de la base de données (import des classeurs existants)</w:t>
            </w:r>
          </w:p>
        </w:tc>
      </w:tr>
      <w:tr w:rsidR="00F10DDA" w14:paraId="5E05FA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C7CA5" w14:textId="77777777" w:rsidR="00F10DDA" w:rsidRDefault="00000000">
            <w:r>
              <w:t>Phase 2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6AADF" w14:textId="77777777" w:rsidR="00F10DDA" w:rsidRDefault="00000000">
            <w:r>
              <w:t>Interface de consultation et recherche</w:t>
            </w:r>
          </w:p>
        </w:tc>
      </w:tr>
      <w:tr w:rsidR="00F10DDA" w14:paraId="11F2BB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BE0BA" w14:textId="77777777" w:rsidR="00F10DDA" w:rsidRDefault="00000000">
            <w:r>
              <w:t>Phase 3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8F884" w14:textId="77777777" w:rsidR="00F10DDA" w:rsidRDefault="00000000">
            <w:r>
              <w:t>Module cartographique</w:t>
            </w:r>
          </w:p>
        </w:tc>
      </w:tr>
      <w:tr w:rsidR="00F10DDA" w14:paraId="4689F9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36F51" w14:textId="77777777" w:rsidR="00F10DDA" w:rsidRDefault="00000000">
            <w:r>
              <w:t>Phase 4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239A4" w14:textId="77777777" w:rsidR="00F10DDA" w:rsidRDefault="00000000">
            <w:r>
              <w:t>Module de visualisation 3D</w:t>
            </w:r>
          </w:p>
        </w:tc>
      </w:tr>
      <w:tr w:rsidR="00F10DDA" w14:paraId="77E520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2DB49" w14:textId="77777777" w:rsidR="00F10DDA" w:rsidRDefault="00000000">
            <w:r>
              <w:t>Phase 5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34FB1" w14:textId="77777777" w:rsidR="00F10DDA" w:rsidRDefault="00000000">
            <w:r>
              <w:t>Espace contributeur et validation</w:t>
            </w:r>
          </w:p>
        </w:tc>
      </w:tr>
      <w:tr w:rsidR="00F10DDA" w14:paraId="7387C0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74637" w14:textId="77777777" w:rsidR="00F10DDA" w:rsidRDefault="00000000">
            <w:r>
              <w:t>Phase 6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D703D" w14:textId="77777777" w:rsidR="00F10DDA" w:rsidRDefault="00000000">
            <w:r>
              <w:t>Ouverture multilingue et export de données</w:t>
            </w:r>
          </w:p>
        </w:tc>
      </w:tr>
      <w:tr w:rsidR="00F10DDA" w14:paraId="7FC376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58865" w14:textId="77777777" w:rsidR="00F10DDA" w:rsidRDefault="00000000">
            <w:r>
              <w:t>Phase 7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E6E1F" w14:textId="77777777" w:rsidR="00F10DDA" w:rsidRDefault="00000000">
            <w:r>
              <w:t>Modules avancés : API, courbes de diversité, ressources pédagogiques</w:t>
            </w:r>
          </w:p>
        </w:tc>
      </w:tr>
    </w:tbl>
    <w:p w14:paraId="08A6D5AA" w14:textId="77777777" w:rsidR="00F10DDA" w:rsidRDefault="00F10DDA">
      <w:pPr>
        <w:spacing w:before="300"/>
      </w:pPr>
    </w:p>
    <w:p w14:paraId="532D80DA" w14:textId="77777777" w:rsidR="00DF2566" w:rsidRDefault="00DF2566">
      <w:pPr>
        <w:spacing w:before="300"/>
      </w:pPr>
    </w:p>
    <w:p w14:paraId="035F8C4A" w14:textId="77777777" w:rsidR="00F10DDA" w:rsidRDefault="00000000">
      <w:pPr>
        <w:pStyle w:val="Titre1"/>
        <w:spacing w:before="400" w:after="200"/>
      </w:pPr>
      <w:r>
        <w:rPr>
          <w:b/>
          <w:bCs/>
          <w:color w:val="1F4E3D"/>
          <w:sz w:val="30"/>
          <w:szCs w:val="30"/>
        </w:rPr>
        <w:lastRenderedPageBreak/>
        <w:t>8. Contraintes et points à trancher</w:t>
      </w:r>
    </w:p>
    <w:p w14:paraId="0395A8D6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Hébergement (institutionnel via Polytech Diamniadio ou externe)</w:t>
      </w:r>
    </w:p>
    <w:p w14:paraId="1F7AC4D4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>Niveau d'ouverture des données (accès libre vs accès restreint aux chercheurs)</w:t>
      </w:r>
    </w:p>
    <w:p w14:paraId="43DDBD80" w14:textId="77777777" w:rsidR="00F10DDA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Format final de la base de données (SQL, NoSQL, ou solution </w:t>
      </w:r>
      <w:proofErr w:type="spellStart"/>
      <w:r>
        <w:t>low</w:t>
      </w:r>
      <w:proofErr w:type="spellEnd"/>
      <w:r>
        <w:t>-code)</w:t>
      </w:r>
    </w:p>
    <w:p w14:paraId="2CBBB217" w14:textId="77777777" w:rsidR="00F10DDA" w:rsidRDefault="00F10DDA">
      <w:pPr>
        <w:pBdr>
          <w:bottom w:val="single" w:sz="6" w:space="1" w:color="CCCCCC"/>
        </w:pBdr>
        <w:spacing w:after="200"/>
      </w:pPr>
    </w:p>
    <w:p w14:paraId="37ABE6FC" w14:textId="77777777" w:rsidR="00F10DDA" w:rsidRDefault="00000000">
      <w:pPr>
        <w:spacing w:before="200"/>
      </w:pPr>
      <w:r>
        <w:rPr>
          <w:i/>
          <w:iCs/>
          <w:color w:val="5A5A5A"/>
        </w:rPr>
        <w:t>Document évolutif — à ajuster au fil de l'avancement du projet.</w:t>
      </w:r>
    </w:p>
    <w:sectPr w:rsidR="00F10DDA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495"/>
    <w:multiLevelType w:val="hybridMultilevel"/>
    <w:tmpl w:val="0C520DBC"/>
    <w:lvl w:ilvl="0" w:tplc="3D008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C4AF8"/>
    <w:multiLevelType w:val="hybridMultilevel"/>
    <w:tmpl w:val="AA2A9AE0"/>
    <w:lvl w:ilvl="0" w:tplc="31785052">
      <w:start w:val="1"/>
      <w:numFmt w:val="bullet"/>
      <w:lvlText w:val="•"/>
      <w:lvlJc w:val="left"/>
      <w:pPr>
        <w:ind w:left="504" w:hanging="259"/>
      </w:pPr>
    </w:lvl>
    <w:lvl w:ilvl="1" w:tplc="BD1EA2C2">
      <w:numFmt w:val="decimal"/>
      <w:lvlText w:val=""/>
      <w:lvlJc w:val="left"/>
    </w:lvl>
    <w:lvl w:ilvl="2" w:tplc="8E4C78F6">
      <w:numFmt w:val="decimal"/>
      <w:lvlText w:val=""/>
      <w:lvlJc w:val="left"/>
    </w:lvl>
    <w:lvl w:ilvl="3" w:tplc="EA1CCBD2">
      <w:numFmt w:val="decimal"/>
      <w:lvlText w:val=""/>
      <w:lvlJc w:val="left"/>
    </w:lvl>
    <w:lvl w:ilvl="4" w:tplc="BB1A4ACA">
      <w:numFmt w:val="decimal"/>
      <w:lvlText w:val=""/>
      <w:lvlJc w:val="left"/>
    </w:lvl>
    <w:lvl w:ilvl="5" w:tplc="A5C4D332">
      <w:numFmt w:val="decimal"/>
      <w:lvlText w:val=""/>
      <w:lvlJc w:val="left"/>
    </w:lvl>
    <w:lvl w:ilvl="6" w:tplc="A6048214">
      <w:numFmt w:val="decimal"/>
      <w:lvlText w:val=""/>
      <w:lvlJc w:val="left"/>
    </w:lvl>
    <w:lvl w:ilvl="7" w:tplc="AB126888">
      <w:numFmt w:val="decimal"/>
      <w:lvlText w:val=""/>
      <w:lvlJc w:val="left"/>
    </w:lvl>
    <w:lvl w:ilvl="8" w:tplc="A2C87680">
      <w:numFmt w:val="decimal"/>
      <w:lvlText w:val=""/>
      <w:lvlJc w:val="left"/>
    </w:lvl>
  </w:abstractNum>
  <w:abstractNum w:abstractNumId="2" w15:restartNumberingAfterBreak="0">
    <w:nsid w:val="66755E96"/>
    <w:multiLevelType w:val="hybridMultilevel"/>
    <w:tmpl w:val="FB3E2F10"/>
    <w:lvl w:ilvl="0" w:tplc="CF267724">
      <w:start w:val="1"/>
      <w:numFmt w:val="bullet"/>
      <w:lvlText w:val="●"/>
      <w:lvlJc w:val="left"/>
      <w:pPr>
        <w:ind w:left="720" w:hanging="360"/>
      </w:pPr>
    </w:lvl>
    <w:lvl w:ilvl="1" w:tplc="3C4E060A">
      <w:start w:val="1"/>
      <w:numFmt w:val="bullet"/>
      <w:lvlText w:val="○"/>
      <w:lvlJc w:val="left"/>
      <w:pPr>
        <w:ind w:left="1440" w:hanging="360"/>
      </w:pPr>
    </w:lvl>
    <w:lvl w:ilvl="2" w:tplc="0BBC84D8">
      <w:start w:val="1"/>
      <w:numFmt w:val="bullet"/>
      <w:lvlText w:val="■"/>
      <w:lvlJc w:val="left"/>
      <w:pPr>
        <w:ind w:left="2160" w:hanging="360"/>
      </w:pPr>
    </w:lvl>
    <w:lvl w:ilvl="3" w:tplc="F94A447E">
      <w:start w:val="1"/>
      <w:numFmt w:val="bullet"/>
      <w:lvlText w:val="●"/>
      <w:lvlJc w:val="left"/>
      <w:pPr>
        <w:ind w:left="2880" w:hanging="360"/>
      </w:pPr>
    </w:lvl>
    <w:lvl w:ilvl="4" w:tplc="07E0668C">
      <w:start w:val="1"/>
      <w:numFmt w:val="bullet"/>
      <w:lvlText w:val="○"/>
      <w:lvlJc w:val="left"/>
      <w:pPr>
        <w:ind w:left="3600" w:hanging="360"/>
      </w:pPr>
    </w:lvl>
    <w:lvl w:ilvl="5" w:tplc="79D2F660">
      <w:start w:val="1"/>
      <w:numFmt w:val="bullet"/>
      <w:lvlText w:val="■"/>
      <w:lvlJc w:val="left"/>
      <w:pPr>
        <w:ind w:left="4320" w:hanging="360"/>
      </w:pPr>
    </w:lvl>
    <w:lvl w:ilvl="6" w:tplc="4B28B2AE">
      <w:start w:val="1"/>
      <w:numFmt w:val="bullet"/>
      <w:lvlText w:val="●"/>
      <w:lvlJc w:val="left"/>
      <w:pPr>
        <w:ind w:left="5040" w:hanging="360"/>
      </w:pPr>
    </w:lvl>
    <w:lvl w:ilvl="7" w:tplc="5A84EA46">
      <w:start w:val="1"/>
      <w:numFmt w:val="bullet"/>
      <w:lvlText w:val="●"/>
      <w:lvlJc w:val="left"/>
      <w:pPr>
        <w:ind w:left="5760" w:hanging="360"/>
      </w:pPr>
    </w:lvl>
    <w:lvl w:ilvl="8" w:tplc="3E16289C">
      <w:start w:val="1"/>
      <w:numFmt w:val="bullet"/>
      <w:lvlText w:val="●"/>
      <w:lvlJc w:val="left"/>
      <w:pPr>
        <w:ind w:left="6480" w:hanging="360"/>
      </w:pPr>
    </w:lvl>
  </w:abstractNum>
  <w:num w:numId="1" w16cid:durableId="1148863015">
    <w:abstractNumId w:val="2"/>
    <w:lvlOverride w:ilvl="0">
      <w:startOverride w:val="1"/>
    </w:lvlOverride>
  </w:num>
  <w:num w:numId="2" w16cid:durableId="60904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DDA"/>
    <w:rsid w:val="006268B3"/>
    <w:rsid w:val="00DF2566"/>
    <w:rsid w:val="00F1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A39D"/>
  <w15:docId w15:val="{EAF2CEFE-7820-4C72-B918-41EC5331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SN" w:eastAsia="fr-S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941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Khadija Thior</cp:lastModifiedBy>
  <cp:revision>2</cp:revision>
  <dcterms:created xsi:type="dcterms:W3CDTF">2026-07-07T12:44:00Z</dcterms:created>
  <dcterms:modified xsi:type="dcterms:W3CDTF">2026-07-07T12:44:00Z</dcterms:modified>
</cp:coreProperties>
</file>