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-2023_BD2_24-2147483647</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FIREFOX DOE SMITH </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FIREFOX ST. GOOGLE</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2266 CHINO ROCES AVENUE, MAKATI CITY / 31ST FLOOR ONE WORLD PLACE 32ND ST., BONIFACIO GLOBAL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Assistant Software Engineer</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GLAXOSMITHKLINE</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December 1, 2023</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June 30, 2024</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16000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16000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Mandaluyong</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James Philip Gomera</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IT Support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Ms. Secret Agent</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Noel Labasan</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Secret Agent</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HR Specialist</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FIREFOX DOE SMITH </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28,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2147483647</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