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508B9" w:rsidRPr="00C508B9" w:rsidRDefault="00C508B9" w:rsidP="00C508B9">
      <w:pPr>
        <w:jc w:val="both"/>
        <w:rPr>
          <w:rFonts w:cstheme="minorHAnsi"/>
          <w:b/>
        </w:rPr>
      </w:pPr>
      <w:r w:rsidRPr="00C508B9">
        <w:rPr>
          <w:rFonts w:cstheme="minorHAnsi"/>
          <w:b/>
        </w:rPr>
        <w:t>DUTIES AND RESPONSIBILITIES:</w:t>
      </w:r>
    </w:p>
    <w:p w:rsidR="00BA1A76" w:rsidRPr="00BA1A76" w:rsidRDefault="00BA1A76" w:rsidP="00BA1A76">
      <w:pPr>
        <w:ind w:left="720"/>
        <w:rPr>
          <w:rFonts w:cstheme="minorHAnsi"/>
          <w:szCs w:val="20"/>
        </w:rPr>
      </w:pPr>
      <w:r w:rsidRPr="00BA1A76">
        <w:rPr>
          <w:rFonts w:cstheme="minorHAnsi"/>
          <w:szCs w:val="20"/>
        </w:rPr>
        <w:t>As a GSK RX Pharmacy Specialist you are responsible for merchandising and promoting of all assigned GlaxoSmithKline:</w:t>
      </w:r>
      <w:r w:rsidRPr="00BA1A76">
        <w:rPr>
          <w:rFonts w:cstheme="minorHAnsi"/>
          <w:szCs w:val="20"/>
        </w:rPr>
        <w:tab/>
      </w:r>
    </w:p>
    <w:p w:rsidR="00BA1A76" w:rsidRPr="00BA1A76" w:rsidRDefault="00BA1A76" w:rsidP="00BA1A76">
      <w:pPr>
        <w:numPr>
          <w:ilvl w:val="0"/>
          <w:numId w:val="31"/>
        </w:numPr>
        <w:spacing w:after="0" w:line="240" w:lineRule="auto"/>
        <w:rPr>
          <w:rFonts w:cstheme="minorHAnsi"/>
          <w:szCs w:val="20"/>
        </w:rPr>
      </w:pPr>
      <w:r w:rsidRPr="00BA1A76">
        <w:rPr>
          <w:rFonts w:cstheme="minorHAnsi"/>
          <w:szCs w:val="20"/>
        </w:rPr>
        <w:t>To check/audit availability of GSK Stock Keeping Units (SKUs) which are part of the Retail Performance Standard (RPS), as well as new products (NPIs) in their merchandising deployment.</w:t>
      </w:r>
    </w:p>
    <w:p w:rsidR="00BA1A76" w:rsidRPr="00BA1A76" w:rsidRDefault="00BA1A76" w:rsidP="00BA1A76">
      <w:pPr>
        <w:numPr>
          <w:ilvl w:val="0"/>
          <w:numId w:val="31"/>
        </w:numPr>
        <w:spacing w:after="0" w:line="240" w:lineRule="auto"/>
        <w:rPr>
          <w:rFonts w:cstheme="minorHAnsi"/>
          <w:szCs w:val="20"/>
        </w:rPr>
      </w:pPr>
      <w:r w:rsidRPr="00BA1A76">
        <w:rPr>
          <w:rFonts w:cstheme="minorHAnsi"/>
          <w:szCs w:val="20"/>
        </w:rPr>
        <w:t>To visit a minimum of ten (10) to fourteen (14) doors/branches a day</w:t>
      </w:r>
    </w:p>
    <w:p w:rsidR="00BA1A76" w:rsidRPr="00BA1A76" w:rsidRDefault="00BA1A76" w:rsidP="00BA1A76">
      <w:pPr>
        <w:numPr>
          <w:ilvl w:val="0"/>
          <w:numId w:val="31"/>
        </w:numPr>
        <w:spacing w:after="0" w:line="240" w:lineRule="auto"/>
        <w:rPr>
          <w:rFonts w:cstheme="minorHAnsi"/>
          <w:szCs w:val="20"/>
        </w:rPr>
      </w:pPr>
      <w:r w:rsidRPr="00BA1A76">
        <w:rPr>
          <w:rFonts w:cstheme="minorHAnsi"/>
          <w:szCs w:val="20"/>
        </w:rPr>
        <w:t>Submit the following reports:</w:t>
      </w:r>
    </w:p>
    <w:p w:rsidR="00BA1A76" w:rsidRPr="00BA1A76" w:rsidRDefault="00BA1A76" w:rsidP="00BA1A76">
      <w:pPr>
        <w:spacing w:after="0" w:line="240" w:lineRule="auto"/>
        <w:ind w:left="1080"/>
        <w:rPr>
          <w:rFonts w:cstheme="minorHAnsi"/>
          <w:szCs w:val="20"/>
        </w:rPr>
      </w:pPr>
    </w:p>
    <w:tbl>
      <w:tblPr>
        <w:tblW w:w="8237" w:type="dxa"/>
        <w:tblInd w:w="1182" w:type="dxa"/>
        <w:tblLook w:val="04A0" w:firstRow="1" w:lastRow="0" w:firstColumn="1" w:lastColumn="0" w:noHBand="0" w:noVBand="1"/>
      </w:tblPr>
      <w:tblGrid>
        <w:gridCol w:w="4214"/>
        <w:gridCol w:w="4023"/>
      </w:tblGrid>
      <w:tr w:rsidR="00BA1A76" w:rsidRPr="00BA1A76" w:rsidTr="00ED7974">
        <w:trPr>
          <w:trHeight w:val="86"/>
        </w:trPr>
        <w:tc>
          <w:tcPr>
            <w:tcW w:w="42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1A76" w:rsidRPr="00BA1A76" w:rsidRDefault="00BA1A76" w:rsidP="00ED7974">
            <w:pPr>
              <w:jc w:val="center"/>
              <w:rPr>
                <w:rFonts w:cstheme="minorHAnsi"/>
                <w:b/>
                <w:bCs/>
                <w:szCs w:val="20"/>
                <w:lang w:val="en-PH" w:eastAsia="en-PH"/>
              </w:rPr>
            </w:pPr>
            <w:r w:rsidRPr="00BA1A76">
              <w:rPr>
                <w:rFonts w:cstheme="minorHAnsi"/>
                <w:b/>
                <w:bCs/>
                <w:szCs w:val="20"/>
                <w:lang w:val="en-PH" w:eastAsia="en-PH"/>
              </w:rPr>
              <w:t>Report</w:t>
            </w:r>
          </w:p>
        </w:tc>
        <w:tc>
          <w:tcPr>
            <w:tcW w:w="4023" w:type="dxa"/>
            <w:tcBorders>
              <w:top w:val="single" w:sz="4" w:space="0" w:color="auto"/>
              <w:left w:val="nil"/>
              <w:bottom w:val="single" w:sz="4" w:space="0" w:color="auto"/>
              <w:right w:val="single" w:sz="4" w:space="0" w:color="auto"/>
            </w:tcBorders>
            <w:shd w:val="clear" w:color="auto" w:fill="auto"/>
            <w:noWrap/>
            <w:vAlign w:val="bottom"/>
            <w:hideMark/>
          </w:tcPr>
          <w:p w:rsidR="00BA1A76" w:rsidRPr="00BA1A76" w:rsidRDefault="00BA1A76" w:rsidP="00ED7974">
            <w:pPr>
              <w:jc w:val="center"/>
              <w:rPr>
                <w:rFonts w:cstheme="minorHAnsi"/>
                <w:b/>
                <w:bCs/>
                <w:szCs w:val="20"/>
                <w:lang w:val="en-PH" w:eastAsia="en-PH"/>
              </w:rPr>
            </w:pPr>
            <w:r w:rsidRPr="00BA1A76">
              <w:rPr>
                <w:rFonts w:cstheme="minorHAnsi"/>
                <w:b/>
                <w:bCs/>
                <w:szCs w:val="20"/>
                <w:lang w:val="en-PH" w:eastAsia="en-PH"/>
              </w:rPr>
              <w:t>Timelines</w:t>
            </w:r>
          </w:p>
        </w:tc>
      </w:tr>
      <w:tr w:rsidR="00BA1A76" w:rsidRPr="00BA1A76" w:rsidTr="00ED7974">
        <w:trPr>
          <w:trHeight w:val="77"/>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Monthly Coverage Plan</w:t>
            </w:r>
          </w:p>
        </w:tc>
        <w:tc>
          <w:tcPr>
            <w:tcW w:w="4023" w:type="dxa"/>
            <w:tcBorders>
              <w:top w:val="nil"/>
              <w:left w:val="nil"/>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Day 23 of the month</w:t>
            </w:r>
          </w:p>
        </w:tc>
      </w:tr>
      <w:tr w:rsidR="00BA1A76" w:rsidRPr="00BA1A76" w:rsidTr="00ED7974">
        <w:trPr>
          <w:trHeight w:val="72"/>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Daily Activity Report ( weekly )</w:t>
            </w:r>
          </w:p>
        </w:tc>
        <w:tc>
          <w:tcPr>
            <w:tcW w:w="4023" w:type="dxa"/>
            <w:tcBorders>
              <w:top w:val="nil"/>
              <w:left w:val="nil"/>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Monday of the previous week</w:t>
            </w:r>
          </w:p>
        </w:tc>
      </w:tr>
      <w:tr w:rsidR="00BA1A76" w:rsidRPr="00BA1A76" w:rsidTr="00ED7974">
        <w:trPr>
          <w:trHeight w:val="91"/>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Monthly Availability and Off take Report</w:t>
            </w:r>
          </w:p>
        </w:tc>
        <w:tc>
          <w:tcPr>
            <w:tcW w:w="4023" w:type="dxa"/>
            <w:tcBorders>
              <w:top w:val="nil"/>
              <w:left w:val="nil"/>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Work Day 3</w:t>
            </w:r>
          </w:p>
        </w:tc>
      </w:tr>
      <w:tr w:rsidR="00BA1A76" w:rsidRPr="00BA1A76" w:rsidTr="00ED7974">
        <w:trPr>
          <w:trHeight w:val="59"/>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Competitive Report</w:t>
            </w:r>
          </w:p>
        </w:tc>
        <w:tc>
          <w:tcPr>
            <w:tcW w:w="4023" w:type="dxa"/>
            <w:tcBorders>
              <w:top w:val="nil"/>
              <w:left w:val="nil"/>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Work Day 3</w:t>
            </w:r>
          </w:p>
        </w:tc>
      </w:tr>
      <w:tr w:rsidR="00BA1A76" w:rsidRPr="00BA1A76" w:rsidTr="00ED7974">
        <w:trPr>
          <w:trHeight w:val="77"/>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Weekly report ( Suggested order )</w:t>
            </w:r>
          </w:p>
        </w:tc>
        <w:tc>
          <w:tcPr>
            <w:tcW w:w="4023" w:type="dxa"/>
            <w:tcBorders>
              <w:top w:val="nil"/>
              <w:left w:val="nil"/>
              <w:bottom w:val="single" w:sz="4" w:space="0" w:color="auto"/>
              <w:right w:val="single" w:sz="4" w:space="0" w:color="auto"/>
            </w:tcBorders>
            <w:shd w:val="clear" w:color="auto" w:fill="auto"/>
            <w:noWrap/>
            <w:vAlign w:val="bottom"/>
            <w:hideMark/>
          </w:tcPr>
          <w:p w:rsidR="00BA1A76" w:rsidRPr="00BA1A76" w:rsidRDefault="00BA1A76" w:rsidP="00ED7974">
            <w:pPr>
              <w:rPr>
                <w:rFonts w:cstheme="minorHAnsi"/>
                <w:szCs w:val="20"/>
                <w:lang w:val="en-PH" w:eastAsia="en-PH"/>
              </w:rPr>
            </w:pPr>
            <w:r w:rsidRPr="00BA1A76">
              <w:rPr>
                <w:rFonts w:cstheme="minorHAnsi"/>
                <w:szCs w:val="20"/>
                <w:lang w:val="en-PH" w:eastAsia="en-PH"/>
              </w:rPr>
              <w:t>Weds of the succeeding week</w:t>
            </w:r>
          </w:p>
        </w:tc>
      </w:tr>
    </w:tbl>
    <w:p w:rsidR="00BA1A76" w:rsidRDefault="00BA1A76" w:rsidP="00BA1A76">
      <w:pPr>
        <w:rPr>
          <w:rFonts w:cstheme="minorHAnsi"/>
          <w:szCs w:val="20"/>
        </w:rPr>
      </w:pPr>
    </w:p>
    <w:p w:rsidR="00BA1A76" w:rsidRDefault="00BA1A76" w:rsidP="00BA1A76">
      <w:pPr>
        <w:rPr>
          <w:rFonts w:cstheme="minorHAnsi"/>
          <w:szCs w:val="20"/>
        </w:rPr>
      </w:pPr>
    </w:p>
    <w:p w:rsidR="00BA1A76" w:rsidRPr="00BA1A76" w:rsidRDefault="00BA1A76" w:rsidP="00BA1A76">
      <w:pPr>
        <w:rPr>
          <w:rFonts w:cstheme="minorHAnsi"/>
          <w:szCs w:val="20"/>
        </w:rPr>
      </w:pPr>
    </w:p>
    <w:p w:rsidR="00BA1A76" w:rsidRPr="00BA1A76" w:rsidRDefault="00BA1A76" w:rsidP="00BA1A76">
      <w:pPr>
        <w:numPr>
          <w:ilvl w:val="0"/>
          <w:numId w:val="31"/>
        </w:numPr>
        <w:spacing w:after="0" w:line="240" w:lineRule="auto"/>
        <w:rPr>
          <w:rFonts w:cstheme="minorHAnsi"/>
          <w:szCs w:val="20"/>
        </w:rPr>
      </w:pPr>
      <w:r w:rsidRPr="00BA1A76">
        <w:rPr>
          <w:rFonts w:cstheme="minorHAnsi"/>
          <w:szCs w:val="20"/>
        </w:rPr>
        <w:lastRenderedPageBreak/>
        <w:t>Deploy in –store materials (as needed) with the Account’s Head Office approval</w:t>
      </w:r>
    </w:p>
    <w:p w:rsidR="00BA1A76" w:rsidRPr="00BA1A76" w:rsidRDefault="00BA1A76" w:rsidP="00BA1A76">
      <w:pPr>
        <w:numPr>
          <w:ilvl w:val="0"/>
          <w:numId w:val="31"/>
        </w:numPr>
        <w:spacing w:after="0" w:line="240" w:lineRule="auto"/>
        <w:rPr>
          <w:rFonts w:cstheme="minorHAnsi"/>
          <w:szCs w:val="20"/>
        </w:rPr>
      </w:pPr>
      <w:r w:rsidRPr="00BA1A76">
        <w:rPr>
          <w:rFonts w:cstheme="minorHAnsi"/>
          <w:szCs w:val="20"/>
        </w:rPr>
        <w:t>Monitor trade activations and provide insights on what will work / not work in their respective branches.</w:t>
      </w:r>
    </w:p>
    <w:p w:rsidR="00BA1A76" w:rsidRPr="00BA1A76" w:rsidRDefault="00BA1A76" w:rsidP="00BA1A76">
      <w:pPr>
        <w:numPr>
          <w:ilvl w:val="3"/>
          <w:numId w:val="31"/>
        </w:numPr>
        <w:spacing w:after="0" w:line="240" w:lineRule="auto"/>
        <w:rPr>
          <w:rFonts w:cstheme="minorHAnsi"/>
          <w:szCs w:val="20"/>
        </w:rPr>
      </w:pPr>
      <w:r w:rsidRPr="00BA1A76">
        <w:rPr>
          <w:rFonts w:cstheme="minorHAnsi"/>
          <w:szCs w:val="20"/>
        </w:rPr>
        <w:t>Price comparative reports</w:t>
      </w:r>
    </w:p>
    <w:p w:rsidR="00BA1A76" w:rsidRPr="00BA1A76" w:rsidRDefault="00BA1A76" w:rsidP="00BA1A76">
      <w:pPr>
        <w:numPr>
          <w:ilvl w:val="3"/>
          <w:numId w:val="31"/>
        </w:numPr>
        <w:spacing w:after="0" w:line="240" w:lineRule="auto"/>
        <w:rPr>
          <w:rFonts w:cstheme="minorHAnsi"/>
          <w:szCs w:val="20"/>
        </w:rPr>
      </w:pPr>
      <w:r w:rsidRPr="00BA1A76">
        <w:rPr>
          <w:rFonts w:cstheme="minorHAnsi"/>
          <w:szCs w:val="20"/>
        </w:rPr>
        <w:t>Shelf stocks monitoring reports</w:t>
      </w:r>
    </w:p>
    <w:p w:rsidR="00BA1A76" w:rsidRPr="00BA1A76" w:rsidRDefault="00BA1A76" w:rsidP="00BA1A76">
      <w:pPr>
        <w:numPr>
          <w:ilvl w:val="3"/>
          <w:numId w:val="31"/>
        </w:numPr>
        <w:spacing w:after="0" w:line="240" w:lineRule="auto"/>
        <w:rPr>
          <w:rFonts w:cstheme="minorHAnsi"/>
          <w:szCs w:val="20"/>
        </w:rPr>
      </w:pPr>
      <w:r w:rsidRPr="00BA1A76">
        <w:rPr>
          <w:rFonts w:cstheme="minorHAnsi"/>
          <w:szCs w:val="20"/>
        </w:rPr>
        <w:t>Competitive activity reports</w:t>
      </w:r>
    </w:p>
    <w:p w:rsidR="00BA1A76" w:rsidRPr="00BA1A76" w:rsidRDefault="00BA1A76" w:rsidP="00BA1A76">
      <w:pPr>
        <w:spacing w:after="0" w:line="240" w:lineRule="auto"/>
        <w:ind w:left="3240"/>
        <w:rPr>
          <w:rFonts w:cstheme="minorHAnsi"/>
          <w:szCs w:val="20"/>
        </w:rPr>
      </w:pPr>
    </w:p>
    <w:p w:rsidR="00BA1A76" w:rsidRPr="00BA1A76" w:rsidRDefault="00BA1A76" w:rsidP="00BA1A76">
      <w:pPr>
        <w:ind w:left="1080"/>
        <w:rPr>
          <w:rFonts w:cstheme="minorHAnsi"/>
          <w:szCs w:val="20"/>
        </w:rPr>
      </w:pPr>
      <w:r w:rsidRPr="00BA1A76">
        <w:rPr>
          <w:rFonts w:cstheme="minorHAnsi"/>
          <w:szCs w:val="20"/>
        </w:rPr>
        <w:t>You shall perform such other functions and duties as Management may require of you in connection with your position.</w:t>
      </w:r>
    </w:p>
    <w:p w:rsidR="008168CF" w:rsidRDefault="008168CF"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BA1A76" w:rsidRDefault="00BA1A76" w:rsidP="008F1837">
      <w:pPr>
        <w:spacing w:after="0" w:line="240" w:lineRule="auto"/>
        <w:ind w:right="-90"/>
        <w:jc w:val="both"/>
        <w:rPr>
          <w:rFonts w:cstheme="minorHAnsi"/>
          <w:b/>
          <w:bCs/>
        </w:rPr>
      </w:pPr>
    </w:p>
    <w:p w:rsidR="00BA1A76" w:rsidRPr="00B721E4" w:rsidRDefault="00BA1A76" w:rsidP="00BA1A76">
      <w:pPr>
        <w:spacing w:after="0"/>
        <w:jc w:val="both"/>
        <w:rPr>
          <w:rFonts w:cstheme="minorHAnsi"/>
          <w:szCs w:val="20"/>
        </w:rPr>
      </w:pPr>
      <w:r w:rsidRPr="00C4591B">
        <w:rPr>
          <w:rFonts w:ascii="Arial Narrow" w:hAnsi="Arial Narrow"/>
          <w:i/>
          <w:sz w:val="20"/>
          <w:szCs w:val="20"/>
        </w:rPr>
        <w:tab/>
      </w:r>
      <w:r w:rsidRPr="00C4591B">
        <w:rPr>
          <w:rFonts w:ascii="Arial Narrow" w:hAnsi="Arial Narrow"/>
          <w:i/>
          <w:sz w:val="20"/>
          <w:szCs w:val="20"/>
        </w:rPr>
        <w:tab/>
      </w:r>
      <w:r w:rsidRPr="00C4591B">
        <w:rPr>
          <w:rFonts w:ascii="Arial Narrow" w:hAnsi="Arial Narrow"/>
          <w:i/>
          <w:sz w:val="20"/>
          <w:szCs w:val="20"/>
        </w:rPr>
        <w:tab/>
      </w:r>
      <w:r w:rsidRPr="00B721E4">
        <w:rPr>
          <w:rFonts w:cstheme="minorHAnsi"/>
          <w:szCs w:val="20"/>
        </w:rPr>
        <w:t>Load / Internet Allowance Per month</w:t>
      </w:r>
      <w:r w:rsidRPr="00B721E4">
        <w:rPr>
          <w:rFonts w:cstheme="minorHAnsi"/>
          <w:szCs w:val="20"/>
        </w:rPr>
        <w:tab/>
      </w:r>
      <w:r w:rsidRPr="00B721E4">
        <w:rPr>
          <w:rFonts w:cstheme="minorHAnsi"/>
          <w:szCs w:val="20"/>
        </w:rPr>
        <w:tab/>
        <w:t>:</w:t>
      </w:r>
      <w:r w:rsidRPr="00B721E4">
        <w:rPr>
          <w:rFonts w:cstheme="minorHAnsi"/>
          <w:szCs w:val="20"/>
        </w:rPr>
        <w:tab/>
        <w:t>Php ___________</w:t>
      </w:r>
    </w:p>
    <w:p w:rsidR="00BA1A76" w:rsidRPr="00B721E4" w:rsidRDefault="00BA1A76" w:rsidP="00BA1A76">
      <w:pPr>
        <w:spacing w:after="0"/>
        <w:jc w:val="both"/>
        <w:rPr>
          <w:rFonts w:cstheme="minorHAnsi"/>
          <w:szCs w:val="20"/>
        </w:rPr>
      </w:pPr>
      <w:r w:rsidRPr="00B721E4">
        <w:rPr>
          <w:rFonts w:cstheme="minorHAnsi"/>
          <w:szCs w:val="20"/>
        </w:rPr>
        <w:tab/>
      </w:r>
      <w:r w:rsidRPr="00B721E4">
        <w:rPr>
          <w:rFonts w:cstheme="minorHAnsi"/>
          <w:szCs w:val="20"/>
        </w:rPr>
        <w:tab/>
      </w:r>
      <w:r w:rsidRPr="00B721E4">
        <w:rPr>
          <w:rFonts w:cstheme="minorHAnsi"/>
          <w:szCs w:val="20"/>
        </w:rPr>
        <w:tab/>
        <w:t>Transportation   Allowance</w:t>
      </w:r>
      <w:r w:rsidRPr="00B721E4">
        <w:rPr>
          <w:rFonts w:cstheme="minorHAnsi"/>
          <w:szCs w:val="20"/>
        </w:rPr>
        <w:tab/>
      </w:r>
      <w:r w:rsidRPr="00B721E4">
        <w:rPr>
          <w:rFonts w:cstheme="minorHAnsi"/>
          <w:szCs w:val="20"/>
        </w:rPr>
        <w:tab/>
      </w:r>
      <w:r w:rsidRPr="00B721E4">
        <w:rPr>
          <w:rFonts w:cstheme="minorHAnsi"/>
          <w:szCs w:val="20"/>
        </w:rPr>
        <w:tab/>
        <w:t>:</w:t>
      </w:r>
      <w:r w:rsidRPr="00B721E4">
        <w:rPr>
          <w:rFonts w:cstheme="minorHAnsi"/>
          <w:szCs w:val="20"/>
        </w:rPr>
        <w:tab/>
        <w:t>Php ___________</w:t>
      </w:r>
    </w:p>
    <w:p w:rsidR="00BA1A76" w:rsidRPr="00B721E4" w:rsidRDefault="00BA1A76" w:rsidP="00BA1A76">
      <w:pPr>
        <w:spacing w:after="0"/>
        <w:jc w:val="both"/>
        <w:rPr>
          <w:rFonts w:cstheme="minorHAnsi"/>
          <w:szCs w:val="20"/>
        </w:rPr>
      </w:pPr>
      <w:r w:rsidRPr="00B721E4">
        <w:rPr>
          <w:rFonts w:cstheme="minorHAnsi"/>
          <w:szCs w:val="20"/>
        </w:rPr>
        <w:tab/>
      </w:r>
      <w:r w:rsidRPr="00B721E4">
        <w:rPr>
          <w:rFonts w:cstheme="minorHAnsi"/>
          <w:szCs w:val="20"/>
        </w:rPr>
        <w:tab/>
      </w:r>
      <w:r w:rsidRPr="00B721E4">
        <w:rPr>
          <w:rFonts w:cstheme="minorHAnsi"/>
          <w:szCs w:val="20"/>
        </w:rPr>
        <w:tab/>
        <w:t>Meal Allowance Per Day</w:t>
      </w:r>
      <w:r w:rsidRPr="00B721E4">
        <w:rPr>
          <w:rFonts w:cstheme="minorHAnsi"/>
          <w:szCs w:val="20"/>
        </w:rPr>
        <w:tab/>
      </w:r>
      <w:r w:rsidRPr="00B721E4">
        <w:rPr>
          <w:rFonts w:cstheme="minorHAnsi"/>
          <w:szCs w:val="20"/>
        </w:rPr>
        <w:tab/>
      </w:r>
      <w:r w:rsidRPr="00B721E4">
        <w:rPr>
          <w:rFonts w:cstheme="minorHAnsi"/>
          <w:szCs w:val="20"/>
        </w:rPr>
        <w:tab/>
        <w:t>:</w:t>
      </w:r>
      <w:r w:rsidRPr="00B721E4">
        <w:rPr>
          <w:rFonts w:cstheme="minorHAnsi"/>
          <w:szCs w:val="20"/>
        </w:rPr>
        <w:tab/>
        <w:t>Php ___________</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B721E4" w:rsidP="00CF1AE2">
      <w:pPr>
        <w:pStyle w:val="BodyText"/>
        <w:spacing w:line="240" w:lineRule="auto"/>
        <w:ind w:left="720"/>
        <w:rPr>
          <w:rFonts w:asciiTheme="minorHAnsi" w:hAnsiTheme="minorHAnsi" w:cstheme="minorHAnsi"/>
          <w:sz w:val="22"/>
          <w:szCs w:val="22"/>
        </w:rPr>
      </w:pPr>
      <w:r w:rsidRPr="00C508B9">
        <w:rPr>
          <w:rFonts w:asciiTheme="minorHAnsi" w:hAnsiTheme="minorHAnsi" w:cstheme="minorHAnsi"/>
          <w:noProof/>
          <w:sz w:val="28"/>
        </w:rPr>
        <mc:AlternateContent>
          <mc:Choice Requires="wps">
            <w:drawing>
              <wp:anchor distT="0" distB="0" distL="114300" distR="114300" simplePos="0" relativeHeight="251667968" behindDoc="0" locked="0" layoutInCell="1" allowOverlap="1" wp14:anchorId="77C6D8F2" wp14:editId="227DB9CC">
                <wp:simplePos x="0" y="0"/>
                <wp:positionH relativeFrom="leftMargin">
                  <wp:align>right</wp:align>
                </wp:positionH>
                <wp:positionV relativeFrom="paragraph">
                  <wp:posOffset>368048</wp:posOffset>
                </wp:positionV>
                <wp:extent cx="3056890" cy="13271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7C6D8F2" id="_x0000_s1027" type="#_x0000_t202" style="position:absolute;left:0;text-align:left;margin-left:189.5pt;margin-top:29pt;width:240.7pt;height:10.45pt;rotation:-90;z-index:2516679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" filled="f" stroked="f">
                <o:lock v:ext="edit" shapetype="t"/>
                <v:textbox style="mso-fit-shape-to-text:t">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45B82"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00745B82"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00745B82"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F2041F" w:rsidRDefault="00C42533" w:rsidP="001C1DD2">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8168CF" w:rsidRDefault="00B721E4" w:rsidP="00B721E4">
      <w:pPr>
        <w:tabs>
          <w:tab w:val="left" w:pos="2192"/>
        </w:tabs>
        <w:spacing w:after="0"/>
        <w:ind w:right="-86"/>
        <w:rPr>
          <w:rFonts w:ascii="Arial Narrow" w:hAnsi="Arial Narrow"/>
          <w:sz w:val="20"/>
          <w:szCs w:val="20"/>
        </w:rPr>
      </w:pPr>
      <w:r>
        <w:rPr>
          <w:rFonts w:ascii="Arial Narrow" w:hAnsi="Arial Narrow" w:cs="Tahoma"/>
          <w:b/>
          <w:sz w:val="18"/>
          <w:szCs w:val="18"/>
        </w:rPr>
        <w:tab/>
      </w:r>
    </w:p>
    <w:p w:rsidR="00384AA1" w:rsidRDefault="00384AA1" w:rsidP="008168CF">
      <w:pPr>
        <w:ind w:right="-90"/>
        <w:jc w:val="center"/>
        <w:rPr>
          <w:rFonts w:ascii="Arial Narrow" w:hAnsi="Arial Narrow" w:cs="Tahoma"/>
          <w:b/>
          <w:sz w:val="18"/>
          <w:szCs w:val="18"/>
        </w:rPr>
      </w:pPr>
    </w:p>
    <w:p w:rsidR="00384AA1" w:rsidRDefault="00384AA1"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tbl>
      <w:tblPr>
        <w:tblW w:w="11442" w:type="dxa"/>
        <w:tblInd w:w="-955" w:type="dxa"/>
        <w:tblLook w:val="04A0" w:firstRow="1" w:lastRow="0" w:firstColumn="1" w:lastColumn="0" w:noHBand="0" w:noVBand="1"/>
      </w:tblPr>
      <w:tblGrid>
        <w:gridCol w:w="1361"/>
        <w:gridCol w:w="5157"/>
        <w:gridCol w:w="2810"/>
        <w:gridCol w:w="950"/>
        <w:gridCol w:w="1164"/>
      </w:tblGrid>
      <w:tr w:rsidR="00B721E4" w:rsidRPr="00B721E4" w:rsidTr="00ED7974">
        <w:trPr>
          <w:gridAfter w:val="1"/>
          <w:wAfter w:w="1166" w:type="dxa"/>
          <w:trHeight w:val="271"/>
        </w:trPr>
        <w:tc>
          <w:tcPr>
            <w:tcW w:w="10276" w:type="dxa"/>
            <w:gridSpan w:val="4"/>
            <w:tcBorders>
              <w:top w:val="single" w:sz="8" w:space="0" w:color="auto"/>
              <w:left w:val="single" w:sz="8" w:space="0" w:color="auto"/>
              <w:bottom w:val="single" w:sz="8" w:space="0" w:color="auto"/>
              <w:right w:val="nil"/>
            </w:tcBorders>
            <w:shd w:val="clear" w:color="auto" w:fill="auto"/>
            <w:noWrap/>
            <w:vAlign w:val="center"/>
            <w:hideMark/>
          </w:tcPr>
          <w:p w:rsidR="00B721E4" w:rsidRPr="00B721E4" w:rsidRDefault="00B721E4" w:rsidP="00B721E4">
            <w:pPr>
              <w:spacing w:after="0" w:line="240" w:lineRule="auto"/>
              <w:jc w:val="center"/>
              <w:rPr>
                <w:rFonts w:eastAsia="Times New Roman" w:cstheme="minorHAnsi"/>
                <w:b/>
                <w:bCs/>
                <w:color w:val="000000"/>
              </w:rPr>
            </w:pPr>
            <w:r w:rsidRPr="00B721E4">
              <w:rPr>
                <w:rFonts w:eastAsia="Times New Roman" w:cstheme="minorHAnsi"/>
                <w:b/>
                <w:bCs/>
                <w:color w:val="000000"/>
              </w:rPr>
              <w:t>Pharmacy Specialist’s KPI</w:t>
            </w:r>
          </w:p>
        </w:tc>
      </w:tr>
      <w:tr w:rsidR="00B721E4" w:rsidRPr="00B721E4" w:rsidTr="00ED7974">
        <w:trPr>
          <w:trHeight w:val="271"/>
        </w:trPr>
        <w:tc>
          <w:tcPr>
            <w:tcW w:w="1361" w:type="dxa"/>
            <w:tcBorders>
              <w:top w:val="nil"/>
              <w:left w:val="single" w:sz="8" w:space="0" w:color="auto"/>
              <w:bottom w:val="nil"/>
              <w:right w:val="nil"/>
            </w:tcBorders>
            <w:shd w:val="clear" w:color="000000" w:fill="D9D9D9"/>
            <w:noWrap/>
            <w:vAlign w:val="bottom"/>
            <w:hideMark/>
          </w:tcPr>
          <w:p w:rsidR="00B721E4" w:rsidRPr="00B721E4" w:rsidRDefault="00B721E4" w:rsidP="00B721E4">
            <w:pPr>
              <w:spacing w:after="0" w:line="240" w:lineRule="auto"/>
              <w:jc w:val="center"/>
              <w:rPr>
                <w:rFonts w:eastAsia="Times New Roman" w:cstheme="minorHAnsi"/>
                <w:b/>
                <w:bCs/>
              </w:rPr>
            </w:pPr>
            <w:r w:rsidRPr="00B721E4">
              <w:rPr>
                <w:rFonts w:eastAsia="Times New Roman" w:cstheme="minorHAnsi"/>
                <w:b/>
                <w:bCs/>
              </w:rPr>
              <w:t>GAF MATRIX</w:t>
            </w:r>
          </w:p>
        </w:tc>
        <w:tc>
          <w:tcPr>
            <w:tcW w:w="5157" w:type="dxa"/>
            <w:tcBorders>
              <w:top w:val="nil"/>
              <w:left w:val="single" w:sz="8" w:space="0" w:color="auto"/>
              <w:bottom w:val="nil"/>
              <w:right w:val="single" w:sz="8" w:space="0" w:color="auto"/>
            </w:tcBorders>
            <w:shd w:val="clear" w:color="000000" w:fill="D9D9D9"/>
            <w:noWrap/>
            <w:vAlign w:val="bottom"/>
            <w:hideMark/>
          </w:tcPr>
          <w:p w:rsidR="00B721E4" w:rsidRPr="00B721E4" w:rsidRDefault="00B721E4" w:rsidP="00B721E4">
            <w:pPr>
              <w:spacing w:after="0" w:line="240" w:lineRule="auto"/>
              <w:jc w:val="center"/>
              <w:rPr>
                <w:rFonts w:eastAsia="Times New Roman" w:cstheme="minorHAnsi"/>
                <w:b/>
                <w:bCs/>
              </w:rPr>
            </w:pPr>
            <w:r w:rsidRPr="00B721E4">
              <w:rPr>
                <w:rFonts w:eastAsia="Times New Roman" w:cstheme="minorHAnsi"/>
                <w:b/>
                <w:bCs/>
              </w:rPr>
              <w:t>Tools to Measure</w:t>
            </w:r>
          </w:p>
        </w:tc>
        <w:tc>
          <w:tcPr>
            <w:tcW w:w="2810" w:type="dxa"/>
            <w:tcBorders>
              <w:top w:val="nil"/>
              <w:left w:val="nil"/>
              <w:bottom w:val="nil"/>
              <w:right w:val="single" w:sz="8" w:space="0" w:color="auto"/>
            </w:tcBorders>
            <w:shd w:val="clear" w:color="000000" w:fill="D9D9D9"/>
            <w:noWrap/>
            <w:vAlign w:val="bottom"/>
            <w:hideMark/>
          </w:tcPr>
          <w:p w:rsidR="00B721E4" w:rsidRPr="00B721E4" w:rsidRDefault="00B721E4" w:rsidP="00B721E4">
            <w:pPr>
              <w:spacing w:after="0" w:line="240" w:lineRule="auto"/>
              <w:jc w:val="center"/>
              <w:rPr>
                <w:rFonts w:eastAsia="Times New Roman" w:cstheme="minorHAnsi"/>
                <w:b/>
                <w:bCs/>
              </w:rPr>
            </w:pPr>
            <w:r w:rsidRPr="00B721E4">
              <w:rPr>
                <w:rFonts w:eastAsia="Times New Roman" w:cstheme="minorHAnsi"/>
                <w:b/>
                <w:bCs/>
              </w:rPr>
              <w:t>Frequency</w:t>
            </w:r>
          </w:p>
        </w:tc>
        <w:tc>
          <w:tcPr>
            <w:tcW w:w="950" w:type="dxa"/>
            <w:tcBorders>
              <w:top w:val="nil"/>
              <w:left w:val="nil"/>
              <w:bottom w:val="nil"/>
              <w:right w:val="single" w:sz="8" w:space="0" w:color="auto"/>
            </w:tcBorders>
            <w:shd w:val="clear" w:color="000000" w:fill="D9D9D9"/>
            <w:noWrap/>
            <w:vAlign w:val="bottom"/>
            <w:hideMark/>
          </w:tcPr>
          <w:p w:rsidR="00B721E4" w:rsidRPr="00B721E4" w:rsidRDefault="00B721E4" w:rsidP="00B721E4">
            <w:pPr>
              <w:spacing w:after="0" w:line="240" w:lineRule="auto"/>
              <w:jc w:val="center"/>
              <w:rPr>
                <w:rFonts w:eastAsia="Times New Roman" w:cstheme="minorHAnsi"/>
                <w:b/>
                <w:bCs/>
              </w:rPr>
            </w:pPr>
            <w:r w:rsidRPr="00B721E4">
              <w:rPr>
                <w:rFonts w:eastAsia="Times New Roman" w:cstheme="minorHAnsi"/>
                <w:b/>
                <w:bCs/>
              </w:rPr>
              <w:t>Weight</w:t>
            </w:r>
          </w:p>
        </w:tc>
        <w:tc>
          <w:tcPr>
            <w:tcW w:w="1164" w:type="dxa"/>
            <w:tcBorders>
              <w:top w:val="nil"/>
              <w:left w:val="nil"/>
              <w:bottom w:val="nil"/>
              <w:right w:val="single" w:sz="8" w:space="0" w:color="auto"/>
            </w:tcBorders>
            <w:shd w:val="clear" w:color="000000" w:fill="D9D9D9"/>
            <w:noWrap/>
            <w:vAlign w:val="bottom"/>
            <w:hideMark/>
          </w:tcPr>
          <w:p w:rsidR="00B721E4" w:rsidRPr="00B721E4" w:rsidRDefault="00B721E4" w:rsidP="00B721E4">
            <w:pPr>
              <w:spacing w:after="0" w:line="240" w:lineRule="auto"/>
              <w:jc w:val="center"/>
              <w:rPr>
                <w:rFonts w:eastAsia="Times New Roman" w:cstheme="minorHAnsi"/>
                <w:b/>
                <w:bCs/>
              </w:rPr>
            </w:pPr>
            <w:r w:rsidRPr="00B721E4">
              <w:rPr>
                <w:rFonts w:eastAsia="Times New Roman" w:cstheme="minorHAnsi"/>
                <w:b/>
                <w:bCs/>
              </w:rPr>
              <w:t>Target</w:t>
            </w:r>
          </w:p>
        </w:tc>
      </w:tr>
      <w:tr w:rsidR="00B721E4" w:rsidRPr="00B721E4" w:rsidTr="00ED7974">
        <w:trPr>
          <w:trHeight w:val="245"/>
        </w:trPr>
        <w:tc>
          <w:tcPr>
            <w:tcW w:w="1361" w:type="dxa"/>
            <w:vMerge w:val="restart"/>
            <w:tcBorders>
              <w:top w:val="single" w:sz="8" w:space="0" w:color="auto"/>
              <w:left w:val="single" w:sz="8" w:space="0" w:color="auto"/>
              <w:bottom w:val="nil"/>
              <w:right w:val="nil"/>
            </w:tcBorders>
            <w:shd w:val="clear" w:color="000000" w:fill="FFFFFF"/>
            <w:vAlign w:val="center"/>
            <w:hideMark/>
          </w:tcPr>
          <w:p w:rsidR="00B721E4" w:rsidRPr="00B721E4" w:rsidRDefault="00B721E4" w:rsidP="00B721E4">
            <w:pPr>
              <w:spacing w:after="0" w:line="240" w:lineRule="auto"/>
              <w:rPr>
                <w:rFonts w:eastAsia="Times New Roman" w:cstheme="minorHAnsi"/>
                <w:color w:val="000000"/>
              </w:rPr>
            </w:pPr>
            <w:r w:rsidRPr="00B721E4">
              <w:rPr>
                <w:rFonts w:eastAsia="Times New Roman" w:cstheme="minorHAnsi"/>
                <w:color w:val="000000"/>
              </w:rPr>
              <w:t>Manpower Training and Deployment</w:t>
            </w:r>
          </w:p>
        </w:tc>
        <w:tc>
          <w:tcPr>
            <w:tcW w:w="5157"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PMT Call Rate and Attendance</w:t>
            </w:r>
          </w:p>
        </w:tc>
        <w:tc>
          <w:tcPr>
            <w:tcW w:w="2810" w:type="dxa"/>
            <w:tcBorders>
              <w:top w:val="single" w:sz="8" w:space="0" w:color="auto"/>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val="restart"/>
            <w:tcBorders>
              <w:top w:val="single" w:sz="8" w:space="0" w:color="auto"/>
              <w:left w:val="single" w:sz="8" w:space="0" w:color="auto"/>
              <w:bottom w:val="nil"/>
              <w:right w:val="single" w:sz="8" w:space="0" w:color="auto"/>
            </w:tcBorders>
            <w:shd w:val="clear" w:color="000000" w:fill="FFFFFF"/>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40%</w:t>
            </w:r>
          </w:p>
        </w:tc>
        <w:tc>
          <w:tcPr>
            <w:tcW w:w="1164" w:type="dxa"/>
            <w:vMerge w:val="restart"/>
            <w:tcBorders>
              <w:top w:val="single" w:sz="8" w:space="0" w:color="auto"/>
              <w:left w:val="single" w:sz="8" w:space="0" w:color="auto"/>
              <w:bottom w:val="nil"/>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90%</w:t>
            </w:r>
          </w:p>
        </w:tc>
      </w:tr>
      <w:tr w:rsidR="00B721E4" w:rsidRPr="00B721E4" w:rsidTr="00ED7974">
        <w:trPr>
          <w:trHeight w:val="245"/>
        </w:trPr>
        <w:tc>
          <w:tcPr>
            <w:tcW w:w="1361" w:type="dxa"/>
            <w:vMerge/>
            <w:tcBorders>
              <w:top w:val="single" w:sz="8" w:space="0" w:color="auto"/>
              <w:left w:val="single" w:sz="8" w:space="0" w:color="auto"/>
              <w:bottom w:val="nil"/>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On-time filling of vacancies</w:t>
            </w:r>
          </w:p>
        </w:tc>
        <w:tc>
          <w:tcPr>
            <w:tcW w:w="2810" w:type="dxa"/>
            <w:tcBorders>
              <w:top w:val="nil"/>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as needed</w:t>
            </w:r>
          </w:p>
        </w:tc>
        <w:tc>
          <w:tcPr>
            <w:tcW w:w="950" w:type="dxa"/>
            <w:vMerge/>
            <w:tcBorders>
              <w:top w:val="single" w:sz="8" w:space="0" w:color="auto"/>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nil"/>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On the job training/coaching sessions</w:t>
            </w:r>
          </w:p>
        </w:tc>
        <w:tc>
          <w:tcPr>
            <w:tcW w:w="2810" w:type="dxa"/>
            <w:tcBorders>
              <w:top w:val="nil"/>
              <w:left w:val="nil"/>
              <w:bottom w:val="single" w:sz="4" w:space="0" w:color="auto"/>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single" w:sz="8" w:space="0" w:color="auto"/>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58"/>
        </w:trPr>
        <w:tc>
          <w:tcPr>
            <w:tcW w:w="1361" w:type="dxa"/>
            <w:vMerge/>
            <w:tcBorders>
              <w:top w:val="single" w:sz="8" w:space="0" w:color="auto"/>
              <w:left w:val="single" w:sz="8" w:space="0" w:color="auto"/>
              <w:bottom w:val="nil"/>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nil"/>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Quarterly Skills Building Training</w:t>
            </w:r>
          </w:p>
        </w:tc>
        <w:tc>
          <w:tcPr>
            <w:tcW w:w="2810" w:type="dxa"/>
            <w:tcBorders>
              <w:top w:val="nil"/>
              <w:left w:val="nil"/>
              <w:bottom w:val="nil"/>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quarterly</w:t>
            </w:r>
          </w:p>
        </w:tc>
        <w:tc>
          <w:tcPr>
            <w:tcW w:w="950" w:type="dxa"/>
            <w:vMerge/>
            <w:tcBorders>
              <w:top w:val="single" w:sz="8" w:space="0" w:color="auto"/>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val="restart"/>
            <w:tcBorders>
              <w:top w:val="single" w:sz="8" w:space="0" w:color="auto"/>
              <w:left w:val="single" w:sz="8" w:space="0" w:color="auto"/>
              <w:bottom w:val="single" w:sz="8" w:space="0" w:color="000000"/>
              <w:right w:val="nil"/>
            </w:tcBorders>
            <w:shd w:val="clear" w:color="000000" w:fill="FFFFFF"/>
            <w:vAlign w:val="center"/>
            <w:hideMark/>
          </w:tcPr>
          <w:p w:rsidR="00B721E4" w:rsidRPr="00B721E4" w:rsidRDefault="00B721E4" w:rsidP="00B721E4">
            <w:pPr>
              <w:spacing w:after="0" w:line="240" w:lineRule="auto"/>
              <w:rPr>
                <w:rFonts w:eastAsia="Times New Roman" w:cstheme="minorHAnsi"/>
                <w:color w:val="000000"/>
              </w:rPr>
            </w:pPr>
            <w:r w:rsidRPr="00B721E4">
              <w:rPr>
                <w:rFonts w:eastAsia="Times New Roman" w:cstheme="minorHAnsi"/>
                <w:color w:val="000000"/>
              </w:rPr>
              <w:t>Reports Generation, Accuracy and On-time submission ; Meetings</w:t>
            </w:r>
          </w:p>
        </w:tc>
        <w:tc>
          <w:tcPr>
            <w:tcW w:w="5157"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Stock On-Shelf Availability /Offtake</w:t>
            </w:r>
          </w:p>
        </w:tc>
        <w:tc>
          <w:tcPr>
            <w:tcW w:w="2810" w:type="dxa"/>
            <w:tcBorders>
              <w:top w:val="single" w:sz="8" w:space="0" w:color="auto"/>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weekly</w:t>
            </w:r>
          </w:p>
        </w:tc>
        <w:tc>
          <w:tcPr>
            <w:tcW w:w="950"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25%</w:t>
            </w:r>
          </w:p>
        </w:tc>
        <w:tc>
          <w:tcPr>
            <w:tcW w:w="1164"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90%</w:t>
            </w: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VHPP Terminal &amp; Account Related Concerns</w:t>
            </w:r>
          </w:p>
        </w:tc>
        <w:tc>
          <w:tcPr>
            <w:tcW w:w="2810" w:type="dxa"/>
            <w:tcBorders>
              <w:top w:val="nil"/>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weekly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Supervisor's Weekly Coverage Plan</w:t>
            </w:r>
          </w:p>
        </w:tc>
        <w:tc>
          <w:tcPr>
            <w:tcW w:w="2810" w:type="dxa"/>
            <w:tcBorders>
              <w:top w:val="nil"/>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weekly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single" w:sz="4"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Monthly Report</w:t>
            </w:r>
          </w:p>
        </w:tc>
        <w:tc>
          <w:tcPr>
            <w:tcW w:w="281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single" w:sz="8" w:space="0" w:color="auto"/>
              <w:left w:val="single" w:sz="4"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Competitive Reports</w:t>
            </w:r>
          </w:p>
        </w:tc>
        <w:tc>
          <w:tcPr>
            <w:tcW w:w="2810" w:type="dxa"/>
            <w:tcBorders>
              <w:top w:val="nil"/>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Price Survey</w:t>
            </w:r>
          </w:p>
        </w:tc>
        <w:tc>
          <w:tcPr>
            <w:tcW w:w="2810" w:type="dxa"/>
            <w:tcBorders>
              <w:top w:val="nil"/>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Dep Sched of Merchandisers</w:t>
            </w:r>
          </w:p>
        </w:tc>
        <w:tc>
          <w:tcPr>
            <w:tcW w:w="2810" w:type="dxa"/>
            <w:tcBorders>
              <w:top w:val="nil"/>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PMT Quarterly  Performance Evaluation</w:t>
            </w:r>
          </w:p>
        </w:tc>
        <w:tc>
          <w:tcPr>
            <w:tcW w:w="2810" w:type="dxa"/>
            <w:tcBorders>
              <w:top w:val="nil"/>
              <w:left w:val="nil"/>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quarterly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nil"/>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Accuracy of Billing Statements (including DTRs, Time Sheets etc)</w:t>
            </w:r>
          </w:p>
        </w:tc>
        <w:tc>
          <w:tcPr>
            <w:tcW w:w="2810" w:type="dxa"/>
            <w:tcBorders>
              <w:top w:val="nil"/>
              <w:left w:val="nil"/>
              <w:bottom w:val="nil"/>
              <w:right w:val="single" w:sz="8" w:space="0" w:color="auto"/>
            </w:tcBorders>
            <w:shd w:val="clear" w:color="000000" w:fill="FFFFFF"/>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169"/>
        </w:trPr>
        <w:tc>
          <w:tcPr>
            <w:tcW w:w="1361" w:type="dxa"/>
            <w:vMerge/>
            <w:tcBorders>
              <w:top w:val="single" w:sz="8" w:space="0" w:color="auto"/>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Attendance in regular meetings : Cycle &amp; Business Review</w:t>
            </w:r>
          </w:p>
        </w:tc>
        <w:tc>
          <w:tcPr>
            <w:tcW w:w="2810" w:type="dxa"/>
            <w:tcBorders>
              <w:top w:val="single" w:sz="4" w:space="0" w:color="auto"/>
              <w:left w:val="nil"/>
              <w:bottom w:val="single" w:sz="8" w:space="0" w:color="auto"/>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monthly/quarterly</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single" w:sz="8" w:space="0" w:color="auto"/>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val="restart"/>
            <w:tcBorders>
              <w:top w:val="nil"/>
              <w:left w:val="single" w:sz="8" w:space="0" w:color="auto"/>
              <w:bottom w:val="single" w:sz="8" w:space="0" w:color="000000"/>
              <w:right w:val="nil"/>
            </w:tcBorders>
            <w:shd w:val="clear" w:color="000000" w:fill="FFFFFF"/>
            <w:noWrap/>
            <w:vAlign w:val="center"/>
            <w:hideMark/>
          </w:tcPr>
          <w:p w:rsidR="00B721E4" w:rsidRPr="00B721E4" w:rsidRDefault="00B721E4" w:rsidP="00B721E4">
            <w:pPr>
              <w:spacing w:after="0" w:line="240" w:lineRule="auto"/>
              <w:rPr>
                <w:rFonts w:eastAsia="Times New Roman" w:cstheme="minorHAnsi"/>
                <w:color w:val="000000"/>
              </w:rPr>
            </w:pPr>
            <w:r w:rsidRPr="00B721E4">
              <w:rPr>
                <w:rFonts w:eastAsia="Times New Roman" w:cstheme="minorHAnsi"/>
                <w:color w:val="000000"/>
              </w:rPr>
              <w:t>Activity Execution</w:t>
            </w: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 xml:space="preserve">Availability of RPS SKUs </w:t>
            </w:r>
          </w:p>
        </w:tc>
        <w:tc>
          <w:tcPr>
            <w:tcW w:w="2810" w:type="dxa"/>
            <w:tcBorders>
              <w:top w:val="nil"/>
              <w:left w:val="nil"/>
              <w:bottom w:val="nil"/>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daily</w:t>
            </w:r>
          </w:p>
        </w:tc>
        <w:tc>
          <w:tcPr>
            <w:tcW w:w="95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25%</w:t>
            </w:r>
          </w:p>
        </w:tc>
        <w:tc>
          <w:tcPr>
            <w:tcW w:w="1164" w:type="dxa"/>
            <w:vMerge w:val="restart"/>
            <w:tcBorders>
              <w:top w:val="nil"/>
              <w:left w:val="nil"/>
              <w:bottom w:val="single" w:sz="8" w:space="0" w:color="000000"/>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90%</w:t>
            </w:r>
          </w:p>
        </w:tc>
      </w:tr>
      <w:tr w:rsidR="00B721E4" w:rsidRPr="00B721E4" w:rsidTr="00ED7974">
        <w:trPr>
          <w:trHeight w:val="245"/>
        </w:trPr>
        <w:tc>
          <w:tcPr>
            <w:tcW w:w="1361" w:type="dxa"/>
            <w:vMerge/>
            <w:tcBorders>
              <w:top w:val="nil"/>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Customer Engagement Skills</w:t>
            </w:r>
          </w:p>
        </w:tc>
        <w:tc>
          <w:tcPr>
            <w:tcW w:w="2810" w:type="dxa"/>
            <w:tcBorders>
              <w:top w:val="nil"/>
              <w:left w:val="nil"/>
              <w:bottom w:val="nil"/>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nil"/>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nil"/>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tcBorders>
              <w:top w:val="nil"/>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Merchandising Skills</w:t>
            </w:r>
          </w:p>
        </w:tc>
        <w:tc>
          <w:tcPr>
            <w:tcW w:w="2810" w:type="dxa"/>
            <w:tcBorders>
              <w:top w:val="nil"/>
              <w:left w:val="nil"/>
              <w:bottom w:val="nil"/>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nil"/>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nil"/>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58"/>
        </w:trPr>
        <w:tc>
          <w:tcPr>
            <w:tcW w:w="1361" w:type="dxa"/>
            <w:vMerge/>
            <w:tcBorders>
              <w:top w:val="nil"/>
              <w:left w:val="single" w:sz="8" w:space="0" w:color="auto"/>
              <w:bottom w:val="single" w:sz="8" w:space="0" w:color="000000"/>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8" w:space="0" w:color="auto"/>
              <w:right w:val="single" w:sz="8" w:space="0" w:color="auto"/>
            </w:tcBorders>
            <w:shd w:val="clear" w:color="auto" w:fill="auto"/>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Coordination Skills</w:t>
            </w:r>
          </w:p>
        </w:tc>
        <w:tc>
          <w:tcPr>
            <w:tcW w:w="2810" w:type="dxa"/>
            <w:tcBorders>
              <w:top w:val="nil"/>
              <w:left w:val="nil"/>
              <w:bottom w:val="single" w:sz="8" w:space="0" w:color="auto"/>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monthly</w:t>
            </w:r>
          </w:p>
        </w:tc>
        <w:tc>
          <w:tcPr>
            <w:tcW w:w="950" w:type="dxa"/>
            <w:vMerge/>
            <w:tcBorders>
              <w:top w:val="nil"/>
              <w:left w:val="single" w:sz="8" w:space="0" w:color="auto"/>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nil"/>
              <w:left w:val="nil"/>
              <w:bottom w:val="single" w:sz="8" w:space="0" w:color="000000"/>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45"/>
        </w:trPr>
        <w:tc>
          <w:tcPr>
            <w:tcW w:w="1361" w:type="dxa"/>
            <w:vMerge w:val="restart"/>
            <w:tcBorders>
              <w:top w:val="nil"/>
              <w:left w:val="single" w:sz="8" w:space="0" w:color="auto"/>
              <w:bottom w:val="single" w:sz="4" w:space="0" w:color="auto"/>
              <w:right w:val="nil"/>
            </w:tcBorders>
            <w:shd w:val="clear" w:color="000000" w:fill="FFFFFF"/>
            <w:noWrap/>
            <w:vAlign w:val="center"/>
            <w:hideMark/>
          </w:tcPr>
          <w:p w:rsidR="00B721E4" w:rsidRPr="00B721E4" w:rsidRDefault="00B721E4" w:rsidP="00B721E4">
            <w:pPr>
              <w:spacing w:after="0" w:line="240" w:lineRule="auto"/>
              <w:rPr>
                <w:rFonts w:eastAsia="Times New Roman" w:cstheme="minorHAnsi"/>
                <w:color w:val="000000"/>
              </w:rPr>
            </w:pPr>
            <w:r w:rsidRPr="00B721E4">
              <w:rPr>
                <w:rFonts w:eastAsia="Times New Roman" w:cstheme="minorHAnsi"/>
                <w:color w:val="000000"/>
              </w:rPr>
              <w:t>Compliance</w:t>
            </w: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 xml:space="preserve">Compliance to GSK rules and guidelines  </w:t>
            </w:r>
          </w:p>
        </w:tc>
        <w:tc>
          <w:tcPr>
            <w:tcW w:w="2810" w:type="dxa"/>
            <w:tcBorders>
              <w:top w:val="nil"/>
              <w:left w:val="nil"/>
              <w:bottom w:val="single" w:sz="4" w:space="0" w:color="auto"/>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24/7</w:t>
            </w:r>
          </w:p>
        </w:tc>
        <w:tc>
          <w:tcPr>
            <w:tcW w:w="950" w:type="dxa"/>
            <w:vMerge w:val="restart"/>
            <w:tcBorders>
              <w:top w:val="nil"/>
              <w:left w:val="single" w:sz="8" w:space="0" w:color="auto"/>
              <w:bottom w:val="nil"/>
              <w:right w:val="single" w:sz="8" w:space="0" w:color="auto"/>
            </w:tcBorders>
            <w:shd w:val="clear" w:color="000000" w:fill="FFFFFF"/>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10%</w:t>
            </w:r>
          </w:p>
        </w:tc>
        <w:tc>
          <w:tcPr>
            <w:tcW w:w="1164" w:type="dxa"/>
            <w:vMerge w:val="restart"/>
            <w:tcBorders>
              <w:top w:val="nil"/>
              <w:left w:val="single" w:sz="8" w:space="0" w:color="auto"/>
              <w:bottom w:val="nil"/>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100%</w:t>
            </w:r>
          </w:p>
        </w:tc>
      </w:tr>
      <w:tr w:rsidR="00B721E4" w:rsidRPr="00B721E4" w:rsidTr="00ED7974">
        <w:trPr>
          <w:trHeight w:val="258"/>
        </w:trPr>
        <w:tc>
          <w:tcPr>
            <w:tcW w:w="1361" w:type="dxa"/>
            <w:vMerge/>
            <w:tcBorders>
              <w:top w:val="nil"/>
              <w:left w:val="single" w:sz="8" w:space="0" w:color="auto"/>
              <w:bottom w:val="single" w:sz="4" w:space="0" w:color="auto"/>
              <w:right w:val="nil"/>
            </w:tcBorders>
            <w:vAlign w:val="center"/>
            <w:hideMark/>
          </w:tcPr>
          <w:p w:rsidR="00B721E4" w:rsidRPr="00B721E4" w:rsidRDefault="00B721E4" w:rsidP="00B721E4">
            <w:pPr>
              <w:spacing w:after="0" w:line="240" w:lineRule="auto"/>
              <w:rPr>
                <w:rFonts w:eastAsia="Times New Roman" w:cstheme="minorHAnsi"/>
                <w:color w:val="000000"/>
              </w:rPr>
            </w:pPr>
          </w:p>
        </w:tc>
        <w:tc>
          <w:tcPr>
            <w:tcW w:w="5157" w:type="dxa"/>
            <w:tcBorders>
              <w:top w:val="nil"/>
              <w:left w:val="single" w:sz="8" w:space="0" w:color="auto"/>
              <w:bottom w:val="single" w:sz="4" w:space="0" w:color="auto"/>
              <w:right w:val="single" w:sz="8" w:space="0" w:color="auto"/>
            </w:tcBorders>
            <w:shd w:val="clear" w:color="000000" w:fill="FFFFFF"/>
            <w:noWrap/>
            <w:vAlign w:val="bottom"/>
            <w:hideMark/>
          </w:tcPr>
          <w:p w:rsidR="00B721E4" w:rsidRPr="00B721E4" w:rsidRDefault="00B721E4" w:rsidP="00B721E4">
            <w:pPr>
              <w:spacing w:after="0" w:line="240" w:lineRule="auto"/>
              <w:rPr>
                <w:rFonts w:eastAsia="Times New Roman" w:cstheme="minorHAnsi"/>
                <w:i/>
                <w:iCs/>
                <w:color w:val="000000"/>
              </w:rPr>
            </w:pPr>
            <w:r w:rsidRPr="00B721E4">
              <w:rPr>
                <w:rFonts w:eastAsia="Times New Roman" w:cstheme="minorHAnsi"/>
                <w:i/>
                <w:iCs/>
                <w:color w:val="000000"/>
              </w:rPr>
              <w:t>Compliance with PCN HR Rules and Guidelines</w:t>
            </w:r>
          </w:p>
        </w:tc>
        <w:tc>
          <w:tcPr>
            <w:tcW w:w="2810" w:type="dxa"/>
            <w:tcBorders>
              <w:top w:val="nil"/>
              <w:left w:val="nil"/>
              <w:bottom w:val="single" w:sz="4" w:space="0" w:color="auto"/>
              <w:right w:val="single" w:sz="8" w:space="0" w:color="auto"/>
            </w:tcBorders>
            <w:shd w:val="clear" w:color="000000" w:fill="FFFFFF"/>
            <w:noWrap/>
            <w:vAlign w:val="center"/>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24/7</w:t>
            </w:r>
          </w:p>
        </w:tc>
        <w:tc>
          <w:tcPr>
            <w:tcW w:w="950" w:type="dxa"/>
            <w:vMerge/>
            <w:tcBorders>
              <w:top w:val="nil"/>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c>
          <w:tcPr>
            <w:tcW w:w="1164" w:type="dxa"/>
            <w:vMerge/>
            <w:tcBorders>
              <w:top w:val="nil"/>
              <w:left w:val="single" w:sz="8" w:space="0" w:color="auto"/>
              <w:bottom w:val="nil"/>
              <w:right w:val="single" w:sz="8" w:space="0" w:color="auto"/>
            </w:tcBorders>
            <w:vAlign w:val="center"/>
            <w:hideMark/>
          </w:tcPr>
          <w:p w:rsidR="00B721E4" w:rsidRPr="00B721E4" w:rsidRDefault="00B721E4" w:rsidP="00B721E4">
            <w:pPr>
              <w:spacing w:after="0" w:line="240" w:lineRule="auto"/>
              <w:rPr>
                <w:rFonts w:eastAsia="Times New Roman" w:cstheme="minorHAnsi"/>
                <w:color w:val="000000"/>
              </w:rPr>
            </w:pPr>
          </w:p>
        </w:tc>
      </w:tr>
      <w:tr w:rsidR="00B721E4" w:rsidRPr="00B721E4" w:rsidTr="00ED7974">
        <w:trPr>
          <w:trHeight w:val="271"/>
        </w:trPr>
        <w:tc>
          <w:tcPr>
            <w:tcW w:w="6517" w:type="dxa"/>
            <w:gridSpan w:val="2"/>
            <w:tcBorders>
              <w:top w:val="single" w:sz="8" w:space="0" w:color="auto"/>
              <w:left w:val="single" w:sz="8" w:space="0" w:color="auto"/>
              <w:bottom w:val="single" w:sz="8" w:space="0" w:color="auto"/>
              <w:right w:val="nil"/>
            </w:tcBorders>
            <w:shd w:val="clear" w:color="auto" w:fill="auto"/>
            <w:noWrap/>
            <w:vAlign w:val="bottom"/>
            <w:hideMark/>
          </w:tcPr>
          <w:p w:rsidR="00B721E4" w:rsidRPr="00B721E4" w:rsidRDefault="00B721E4" w:rsidP="00B721E4">
            <w:pPr>
              <w:spacing w:after="0" w:line="240" w:lineRule="auto"/>
              <w:jc w:val="center"/>
              <w:rPr>
                <w:rFonts w:eastAsia="Times New Roman" w:cstheme="minorHAnsi"/>
                <w:b/>
                <w:bCs/>
                <w:color w:val="000000"/>
              </w:rPr>
            </w:pPr>
            <w:r w:rsidRPr="00B721E4">
              <w:rPr>
                <w:rFonts w:eastAsia="Times New Roman" w:cstheme="minorHAnsi"/>
                <w:b/>
                <w:bCs/>
                <w:color w:val="000000"/>
              </w:rPr>
              <w:t>TOTAL TARGET KPI</w:t>
            </w:r>
          </w:p>
        </w:tc>
        <w:tc>
          <w:tcPr>
            <w:tcW w:w="28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721E4" w:rsidRPr="00B721E4" w:rsidRDefault="00B721E4" w:rsidP="00B721E4">
            <w:pPr>
              <w:spacing w:after="0" w:line="240" w:lineRule="auto"/>
              <w:jc w:val="center"/>
              <w:rPr>
                <w:rFonts w:eastAsia="Times New Roman" w:cstheme="minorHAnsi"/>
                <w:color w:val="000000"/>
              </w:rPr>
            </w:pPr>
            <w:r w:rsidRPr="00B721E4">
              <w:rPr>
                <w:rFonts w:eastAsia="Times New Roman" w:cstheme="minorHAnsi"/>
                <w:color w:val="000000"/>
              </w:rPr>
              <w:t> </w:t>
            </w:r>
          </w:p>
        </w:tc>
        <w:tc>
          <w:tcPr>
            <w:tcW w:w="950" w:type="dxa"/>
            <w:tcBorders>
              <w:top w:val="single" w:sz="8" w:space="0" w:color="auto"/>
              <w:left w:val="nil"/>
              <w:bottom w:val="single" w:sz="8" w:space="0" w:color="auto"/>
              <w:right w:val="single" w:sz="8" w:space="0" w:color="auto"/>
            </w:tcBorders>
            <w:shd w:val="clear" w:color="auto" w:fill="auto"/>
            <w:noWrap/>
            <w:vAlign w:val="center"/>
            <w:hideMark/>
          </w:tcPr>
          <w:p w:rsidR="00B721E4" w:rsidRPr="00B721E4" w:rsidRDefault="00B721E4" w:rsidP="00B721E4">
            <w:pPr>
              <w:spacing w:after="0" w:line="240" w:lineRule="auto"/>
              <w:jc w:val="center"/>
              <w:rPr>
                <w:rFonts w:eastAsia="Times New Roman" w:cstheme="minorHAnsi"/>
                <w:b/>
                <w:bCs/>
                <w:color w:val="000000"/>
              </w:rPr>
            </w:pPr>
            <w:r w:rsidRPr="00B721E4">
              <w:rPr>
                <w:rFonts w:eastAsia="Times New Roman" w:cstheme="minorHAnsi"/>
                <w:b/>
                <w:bCs/>
                <w:color w:val="000000"/>
              </w:rPr>
              <w:t>100%</w:t>
            </w:r>
          </w:p>
        </w:tc>
        <w:tc>
          <w:tcPr>
            <w:tcW w:w="1164" w:type="dxa"/>
            <w:tcBorders>
              <w:top w:val="single" w:sz="8" w:space="0" w:color="auto"/>
              <w:left w:val="nil"/>
              <w:bottom w:val="single" w:sz="8" w:space="0" w:color="auto"/>
              <w:right w:val="single" w:sz="8" w:space="0" w:color="auto"/>
            </w:tcBorders>
            <w:shd w:val="clear" w:color="auto" w:fill="auto"/>
            <w:noWrap/>
            <w:vAlign w:val="center"/>
            <w:hideMark/>
          </w:tcPr>
          <w:p w:rsidR="00B721E4" w:rsidRPr="00B721E4" w:rsidRDefault="00B721E4" w:rsidP="00B721E4">
            <w:pPr>
              <w:spacing w:after="0" w:line="240" w:lineRule="auto"/>
              <w:jc w:val="center"/>
              <w:rPr>
                <w:rFonts w:eastAsia="Times New Roman" w:cstheme="minorHAnsi"/>
                <w:b/>
                <w:bCs/>
                <w:color w:val="000000"/>
              </w:rPr>
            </w:pPr>
            <w:r w:rsidRPr="00B721E4">
              <w:rPr>
                <w:rFonts w:eastAsia="Times New Roman" w:cstheme="minorHAnsi"/>
                <w:b/>
                <w:bCs/>
                <w:color w:val="000000"/>
              </w:rPr>
              <w:t>93%</w:t>
            </w:r>
          </w:p>
        </w:tc>
      </w:tr>
    </w:tbl>
    <w:p w:rsidR="008168CF" w:rsidRDefault="008168CF"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bookmarkStart w:id="0" w:name="_GoBack"/>
      <w:bookmarkEnd w:id="0"/>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Default="00B721E4" w:rsidP="001C1DD2">
      <w:pPr>
        <w:spacing w:after="0"/>
        <w:ind w:right="-86"/>
        <w:jc w:val="center"/>
        <w:rPr>
          <w:rFonts w:ascii="Arial Narrow" w:hAnsi="Arial Narrow" w:cs="Tahoma"/>
          <w:b/>
          <w:sz w:val="18"/>
          <w:szCs w:val="18"/>
        </w:rPr>
      </w:pPr>
    </w:p>
    <w:p w:rsidR="00B721E4" w:rsidRPr="001C1DD2" w:rsidRDefault="00B721E4"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B7D" w:rsidRDefault="002D2B7D" w:rsidP="0079192D">
      <w:pPr>
        <w:spacing w:after="0" w:line="240" w:lineRule="auto"/>
      </w:pPr>
      <w:r>
        <w:separator/>
      </w:r>
    </w:p>
  </w:endnote>
  <w:endnote w:type="continuationSeparator" w:id="0">
    <w:p w:rsidR="002D2B7D" w:rsidRDefault="002D2B7D"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B7D" w:rsidRDefault="002D2B7D" w:rsidP="0079192D">
      <w:pPr>
        <w:spacing w:after="0" w:line="240" w:lineRule="auto"/>
      </w:pPr>
      <w:r>
        <w:separator/>
      </w:r>
    </w:p>
  </w:footnote>
  <w:footnote w:type="continuationSeparator" w:id="0">
    <w:p w:rsidR="002D2B7D" w:rsidRDefault="002D2B7D"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CAC2654"/>
    <w:multiLevelType w:val="hybridMultilevel"/>
    <w:tmpl w:val="6CE04F1E"/>
    <w:lvl w:ilvl="0" w:tplc="A4EA1BD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9"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0"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27"/>
  </w:num>
  <w:num w:numId="4">
    <w:abstractNumId w:val="8"/>
  </w:num>
  <w:num w:numId="5">
    <w:abstractNumId w:val="13"/>
  </w:num>
  <w:num w:numId="6">
    <w:abstractNumId w:val="17"/>
  </w:num>
  <w:num w:numId="7">
    <w:abstractNumId w:val="21"/>
  </w:num>
  <w:num w:numId="8">
    <w:abstractNumId w:val="6"/>
  </w:num>
  <w:num w:numId="9">
    <w:abstractNumId w:val="14"/>
  </w:num>
  <w:num w:numId="10">
    <w:abstractNumId w:val="26"/>
  </w:num>
  <w:num w:numId="11">
    <w:abstractNumId w:val="25"/>
  </w:num>
  <w:num w:numId="12">
    <w:abstractNumId w:val="18"/>
  </w:num>
  <w:num w:numId="13">
    <w:abstractNumId w:val="4"/>
  </w:num>
  <w:num w:numId="14">
    <w:abstractNumId w:val="9"/>
  </w:num>
  <w:num w:numId="15">
    <w:abstractNumId w:val="30"/>
  </w:num>
  <w:num w:numId="16">
    <w:abstractNumId w:val="22"/>
  </w:num>
  <w:num w:numId="17">
    <w:abstractNumId w:val="7"/>
  </w:num>
  <w:num w:numId="18">
    <w:abstractNumId w:val="24"/>
  </w:num>
  <w:num w:numId="19">
    <w:abstractNumId w:val="11"/>
  </w:num>
  <w:num w:numId="20">
    <w:abstractNumId w:val="19"/>
  </w:num>
  <w:num w:numId="21">
    <w:abstractNumId w:val="23"/>
  </w:num>
  <w:num w:numId="22">
    <w:abstractNumId w:val="20"/>
  </w:num>
  <w:num w:numId="23">
    <w:abstractNumId w:val="5"/>
  </w:num>
  <w:num w:numId="24">
    <w:abstractNumId w:val="3"/>
  </w:num>
  <w:num w:numId="25">
    <w:abstractNumId w:val="16"/>
  </w:num>
  <w:num w:numId="26">
    <w:abstractNumId w:val="28"/>
  </w:num>
  <w:num w:numId="27">
    <w:abstractNumId w:val="2"/>
  </w:num>
  <w:num w:numId="28">
    <w:abstractNumId w:val="1"/>
  </w:num>
  <w:num w:numId="29">
    <w:abstractNumId w:val="10"/>
  </w:num>
  <w:num w:numId="30">
    <w:abstractNumId w:val="2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2B7D"/>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721E4"/>
    <w:rsid w:val="00B95FD7"/>
    <w:rsid w:val="00BA0898"/>
    <w:rsid w:val="00BA1A76"/>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147E-1BAA-4D7F-AC5E-84AC28FB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2018-04-23T06:34:00Z</dcterms:created>
  <dcterms:modified xsi:type="dcterms:W3CDTF">2018-04-23T06:34:00Z</dcterms:modified>
</cp:coreProperties>
</file>