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5E3FDDB" w14:textId="4FA4F780"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Discuss </w:t>
      </w:r>
      <w:r>
        <w:rPr>
          <w:rFonts w:cs="Arial"/>
          <w:sz w:val="22"/>
          <w:szCs w:val="22"/>
        </w:rPr>
        <w:t>itineraries of the team members;</w:t>
      </w:r>
    </w:p>
    <w:p w14:paraId="768EB31D" w14:textId="77777777"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Deploys the team and discuss the correct procedure in </w:t>
      </w:r>
      <w:r>
        <w:rPr>
          <w:rFonts w:cs="Arial"/>
          <w:sz w:val="22"/>
          <w:szCs w:val="22"/>
        </w:rPr>
        <w:t>merchandising</w:t>
      </w:r>
      <w:r w:rsidRPr="002D20B2">
        <w:rPr>
          <w:rFonts w:cs="Arial"/>
          <w:sz w:val="22"/>
          <w:szCs w:val="22"/>
        </w:rPr>
        <w:t xml:space="preserve"> to e</w:t>
      </w:r>
      <w:r>
        <w:rPr>
          <w:rFonts w:cs="Arial"/>
          <w:sz w:val="22"/>
          <w:szCs w:val="22"/>
        </w:rPr>
        <w:t>nsure 100% coverage for the day;</w:t>
      </w:r>
    </w:p>
    <w:p w14:paraId="5B7A69B4" w14:textId="77777777"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Assist the </w:t>
      </w:r>
      <w:r>
        <w:rPr>
          <w:rFonts w:cs="Arial"/>
          <w:sz w:val="22"/>
          <w:szCs w:val="22"/>
        </w:rPr>
        <w:t>merchandiser’s;</w:t>
      </w:r>
      <w:r w:rsidRPr="002D20B2">
        <w:rPr>
          <w:rFonts w:cs="Arial"/>
          <w:sz w:val="22"/>
          <w:szCs w:val="22"/>
        </w:rPr>
        <w:t xml:space="preserve"> </w:t>
      </w:r>
    </w:p>
    <w:p w14:paraId="0235F623" w14:textId="77777777"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See to it that every team </w:t>
      </w:r>
      <w:proofErr w:type="gramStart"/>
      <w:r w:rsidRPr="002D20B2">
        <w:rPr>
          <w:rFonts w:cs="Arial"/>
          <w:sz w:val="22"/>
          <w:szCs w:val="22"/>
        </w:rPr>
        <w:t>members</w:t>
      </w:r>
      <w:proofErr w:type="gramEnd"/>
      <w:r w:rsidRPr="002D20B2">
        <w:rPr>
          <w:rFonts w:cs="Arial"/>
          <w:sz w:val="22"/>
          <w:szCs w:val="22"/>
        </w:rPr>
        <w:t xml:space="preserve"> deli</w:t>
      </w:r>
      <w:r>
        <w:rPr>
          <w:rFonts w:cs="Arial"/>
          <w:sz w:val="22"/>
          <w:szCs w:val="22"/>
        </w:rPr>
        <w:t>ver the right report procedures;</w:t>
      </w:r>
    </w:p>
    <w:p w14:paraId="6B3044B9" w14:textId="77777777"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Get comments, feed b</w:t>
      </w:r>
      <w:r>
        <w:rPr>
          <w:rFonts w:cs="Arial"/>
          <w:sz w:val="22"/>
          <w:szCs w:val="22"/>
        </w:rPr>
        <w:t>acks and competitive activities;</w:t>
      </w:r>
    </w:p>
    <w:p w14:paraId="35C96D43" w14:textId="77777777"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Collects, checks the correctness of summarizes the daily activity reports submitted by team members before submi</w:t>
      </w:r>
      <w:r>
        <w:rPr>
          <w:rFonts w:cs="Arial"/>
          <w:sz w:val="22"/>
          <w:szCs w:val="22"/>
        </w:rPr>
        <w:t>tting it to the Project Manager;</w:t>
      </w:r>
    </w:p>
    <w:p w14:paraId="0B717E15" w14:textId="77777777" w:rsidR="00B9501B" w:rsidRPr="00396763"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Checks fictitious entries if there are any in an</w:t>
      </w:r>
      <w:r>
        <w:rPr>
          <w:rFonts w:cs="Arial"/>
          <w:sz w:val="22"/>
          <w:szCs w:val="22"/>
        </w:rPr>
        <w:t>y of the daily activity reports;</w:t>
      </w:r>
    </w:p>
    <w:p w14:paraId="757CA3BD" w14:textId="28FFAA63" w:rsidR="00B9501B" w:rsidRPr="00B9501B"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 Shall recommend a comprehensive audit if they believe that most of the </w:t>
      </w:r>
      <w:r>
        <w:rPr>
          <w:rFonts w:cs="Arial"/>
          <w:sz w:val="22"/>
          <w:szCs w:val="22"/>
        </w:rPr>
        <w:t>inventory in DAR are fictitious;</w:t>
      </w:r>
    </w:p>
    <w:p w14:paraId="49A27F13" w14:textId="77777777" w:rsidR="00B9501B" w:rsidRPr="001E28AB"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E28AB">
        <w:rPr>
          <w:rFonts w:cs="Arial"/>
          <w:sz w:val="22"/>
          <w:szCs w:val="22"/>
        </w:rPr>
        <w:lastRenderedPageBreak/>
        <w:t>Communicates to PCN Main Office any deviation from the guidelines prior to taking action;</w:t>
      </w:r>
    </w:p>
    <w:p w14:paraId="79F1C7A7" w14:textId="77777777" w:rsidR="00B9501B" w:rsidRPr="00465A73"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Reports to PCN Office during agreed time and date or as per instruction of</w:t>
      </w:r>
      <w:r>
        <w:rPr>
          <w:rFonts w:cs="Arial"/>
          <w:sz w:val="22"/>
          <w:szCs w:val="22"/>
        </w:rPr>
        <w:t xml:space="preserve"> Project and/or Account Officer;</w:t>
      </w:r>
    </w:p>
    <w:p w14:paraId="4B854402" w14:textId="77777777" w:rsidR="00B9501B" w:rsidRPr="00465A73"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65A73">
        <w:rPr>
          <w:rFonts w:cs="Arial"/>
          <w:sz w:val="22"/>
          <w:szCs w:val="22"/>
        </w:rPr>
        <w:t>Maintains proper grooming, wears p</w:t>
      </w:r>
      <w:r>
        <w:rPr>
          <w:rFonts w:cs="Arial"/>
          <w:sz w:val="22"/>
          <w:szCs w:val="22"/>
        </w:rPr>
        <w:t xml:space="preserve">roper uniform and PCN ID during </w:t>
      </w:r>
      <w:r w:rsidRPr="00465A73">
        <w:rPr>
          <w:rFonts w:cs="Arial"/>
          <w:sz w:val="22"/>
          <w:szCs w:val="22"/>
        </w:rPr>
        <w:t>selling/sampling hours;</w:t>
      </w:r>
    </w:p>
    <w:p w14:paraId="528EE1C2" w14:textId="77777777" w:rsidR="00B9501B" w:rsidRPr="002D20B2" w:rsidRDefault="00B9501B" w:rsidP="00B9501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Immediately reports to PCN via telephone any of the following situation that may occur d</w:t>
      </w:r>
      <w:r>
        <w:rPr>
          <w:rFonts w:cs="Arial"/>
          <w:sz w:val="22"/>
          <w:szCs w:val="22"/>
        </w:rPr>
        <w:t>uring promotional selling hours;</w:t>
      </w:r>
    </w:p>
    <w:p w14:paraId="4E77B1EF" w14:textId="77777777" w:rsidR="00B9501B" w:rsidRPr="002D20B2" w:rsidRDefault="00B9501B" w:rsidP="00B9501B">
      <w:pPr>
        <w:spacing w:line="240" w:lineRule="auto"/>
        <w:ind w:left="1080"/>
        <w:rPr>
          <w:rFonts w:cs="Arial"/>
          <w:sz w:val="22"/>
          <w:szCs w:val="22"/>
        </w:rPr>
      </w:pPr>
      <w:r w:rsidRPr="002D20B2">
        <w:rPr>
          <w:rFonts w:cs="Arial"/>
          <w:sz w:val="22"/>
          <w:szCs w:val="22"/>
        </w:rPr>
        <w:t>- Theft or loss of materials and other supplies;</w:t>
      </w:r>
    </w:p>
    <w:p w14:paraId="60F1EB39" w14:textId="77777777" w:rsidR="00B9501B" w:rsidRPr="002D20B2" w:rsidRDefault="00B9501B" w:rsidP="00B9501B">
      <w:pPr>
        <w:spacing w:line="240" w:lineRule="auto"/>
        <w:ind w:left="720" w:firstLine="360"/>
        <w:rPr>
          <w:rFonts w:cs="Arial"/>
          <w:sz w:val="22"/>
          <w:szCs w:val="22"/>
        </w:rPr>
      </w:pPr>
      <w:r w:rsidRPr="002D20B2">
        <w:rPr>
          <w:rFonts w:cs="Arial"/>
          <w:sz w:val="22"/>
          <w:szCs w:val="22"/>
        </w:rPr>
        <w:t>- Consumer complaints;</w:t>
      </w:r>
    </w:p>
    <w:p w14:paraId="3BD9DBE6" w14:textId="77777777" w:rsidR="00B9501B" w:rsidRPr="00396763" w:rsidRDefault="00B9501B" w:rsidP="00B9501B">
      <w:pPr>
        <w:spacing w:line="240" w:lineRule="auto"/>
        <w:rPr>
          <w:rFonts w:cs="Arial"/>
          <w:sz w:val="22"/>
          <w:szCs w:val="22"/>
        </w:rPr>
      </w:pPr>
      <w:r w:rsidRPr="002D20B2">
        <w:rPr>
          <w:rFonts w:cs="Arial"/>
          <w:sz w:val="22"/>
          <w:szCs w:val="22"/>
        </w:rPr>
        <w:t xml:space="preserve">                  - Or other important matters that needed attention or knowledge of PCN main office.</w:t>
      </w:r>
    </w:p>
    <w:p w14:paraId="6E9876A2" w14:textId="17886053" w:rsidR="006E5442" w:rsidRPr="00690087" w:rsidRDefault="006E5442" w:rsidP="00B9501B">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9052D8" w14:textId="72327F69" w:rsidR="002533FE" w:rsidRPr="006C4220" w:rsidRDefault="009B1AD0" w:rsidP="002533F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2533FE" w:rsidRPr="000B60D8">
        <w:rPr>
          <w:rFonts w:eastAsia="MS Mincho" w:cs="Arial"/>
          <w:spacing w:val="-3"/>
          <w:sz w:val="22"/>
          <w:szCs w:val="22"/>
          <w:lang w:val="en-US"/>
        </w:rPr>
        <w:t xml:space="preserve">Employee will commence to perform the services of </w:t>
      </w:r>
      <w:r w:rsidR="002533FE">
        <w:rPr>
          <w:rFonts w:eastAsia="MS Mincho" w:cs="Arial"/>
          <w:spacing w:val="-3"/>
          <w:sz w:val="22"/>
          <w:szCs w:val="22"/>
          <w:lang w:val="en-US"/>
        </w:rPr>
        <w:t xml:space="preserve">a </w:t>
      </w:r>
    </w:p>
    <w:p w14:paraId="4383AFE6" w14:textId="5E4E0569" w:rsidR="009B1AD0" w:rsidRPr="002533FE" w:rsidRDefault="002533FE" w:rsidP="002533F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spacing w:val="-3"/>
          <w:sz w:val="22"/>
          <w:szCs w:val="22"/>
          <w:lang w:val="en-US"/>
        </w:rPr>
        <w:t xml:space="preserve"> effective</w:t>
      </w:r>
      <w:r w:rsidRPr="006B3963">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b/>
          <w:spacing w:val="-3"/>
          <w:sz w:val="22"/>
          <w:szCs w:val="22"/>
          <w:lang w:val="en-US"/>
        </w:rPr>
        <w:t>.</w:t>
      </w:r>
    </w:p>
    <w:p w14:paraId="2CE9576E" w14:textId="77777777" w:rsidR="00673C8E" w:rsidRDefault="00673C8E" w:rsidP="00673C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76B61078" w:rsidR="00DD1A57" w:rsidRPr="00DD1A57" w:rsidRDefault="00B9501B"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46ED8005">
            <wp:simplePos x="0" y="0"/>
            <wp:positionH relativeFrom="column">
              <wp:posOffset>-333375</wp:posOffset>
            </wp:positionH>
            <wp:positionV relativeFrom="paragraph">
              <wp:posOffset>128905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DD1A57" w:rsidRPr="00DD1A57">
        <w:rPr>
          <w:rFonts w:eastAsia="MS Mincho" w:cs="Arial"/>
          <w:color w:val="000000" w:themeColor="text1"/>
          <w:spacing w:val="-3"/>
          <w:sz w:val="22"/>
          <w:szCs w:val="22"/>
          <w:lang w:val="en-US"/>
        </w:rPr>
        <w:t xml:space="preserve">Employee shall receive </w:t>
      </w:r>
      <w:r w:rsidR="00DD1A57" w:rsidRPr="00DD1A57">
        <w:rPr>
          <w:rFonts w:eastAsia="MS Mincho" w:cs="Arial"/>
          <w:b/>
          <w:color w:val="000000" w:themeColor="text1"/>
          <w:spacing w:val="-3"/>
          <w:sz w:val="22"/>
          <w:szCs w:val="22"/>
          <w:lang w:val="en-US"/>
        </w:rPr>
        <w:t xml:space="preserve">Php </w:t>
      </w:r>
      <w:r w:rsidR="00DD1A57" w:rsidRPr="00DD1A57">
        <w:rPr>
          <w:rFonts w:cs="Arial"/>
          <w:b/>
          <w:bCs/>
          <w:sz w:val="22"/>
        </w:rPr>
        <w:t xml:space="preserve">${Value10} </w:t>
      </w:r>
      <w:r w:rsidR="00DD1A57" w:rsidRPr="00DD1A57">
        <w:rPr>
          <w:rFonts w:eastAsia="MS Mincho" w:cs="Arial"/>
          <w:color w:val="000000" w:themeColor="text1"/>
          <w:spacing w:val="-3"/>
          <w:sz w:val="22"/>
          <w:szCs w:val="22"/>
          <w:lang w:val="en-US"/>
        </w:rPr>
        <w:t xml:space="preserve">per day, payable every </w:t>
      </w:r>
      <w:r w:rsidR="00DD1A57" w:rsidRPr="00DD1A57">
        <w:rPr>
          <w:rFonts w:eastAsia="MS Mincho" w:cs="Arial"/>
          <w:b/>
          <w:color w:val="000000" w:themeColor="text1"/>
          <w:spacing w:val="-3"/>
          <w:sz w:val="22"/>
          <w:szCs w:val="22"/>
          <w:lang w:val="en-US"/>
        </w:rPr>
        <w:t>10</w:t>
      </w:r>
      <w:r w:rsidR="00DD1A57" w:rsidRPr="00DD1A57">
        <w:rPr>
          <w:rFonts w:eastAsia="MS Mincho" w:cs="Arial"/>
          <w:b/>
          <w:color w:val="000000" w:themeColor="text1"/>
          <w:spacing w:val="-3"/>
          <w:sz w:val="22"/>
          <w:szCs w:val="22"/>
          <w:vertAlign w:val="superscript"/>
          <w:lang w:val="en-US"/>
        </w:rPr>
        <w:t>th</w:t>
      </w:r>
      <w:r w:rsidR="00DD1A57" w:rsidRPr="00DD1A57">
        <w:rPr>
          <w:rFonts w:eastAsia="MS Mincho" w:cs="Arial"/>
          <w:color w:val="000000" w:themeColor="text1"/>
          <w:spacing w:val="-3"/>
          <w:sz w:val="22"/>
          <w:szCs w:val="22"/>
          <w:lang w:val="en-US"/>
        </w:rPr>
        <w:t xml:space="preserve"> and </w:t>
      </w:r>
      <w:r w:rsidR="00DD1A57" w:rsidRPr="00DD1A57">
        <w:rPr>
          <w:rFonts w:eastAsia="MS Mincho" w:cs="Arial"/>
          <w:b/>
          <w:color w:val="000000" w:themeColor="text1"/>
          <w:spacing w:val="-3"/>
          <w:sz w:val="22"/>
          <w:szCs w:val="22"/>
          <w:lang w:val="en-US"/>
        </w:rPr>
        <w:t>25</w:t>
      </w:r>
      <w:r w:rsidR="00DD1A57" w:rsidRPr="00DD1A57">
        <w:rPr>
          <w:rFonts w:eastAsia="MS Mincho" w:cs="Arial"/>
          <w:b/>
          <w:color w:val="000000" w:themeColor="text1"/>
          <w:spacing w:val="-3"/>
          <w:sz w:val="22"/>
          <w:szCs w:val="22"/>
          <w:vertAlign w:val="superscript"/>
          <w:lang w:val="en-US"/>
        </w:rPr>
        <w:t>th</w:t>
      </w:r>
      <w:r w:rsidR="00DD1A57"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2352079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1E39C07" w14:textId="0D00E74C" w:rsidR="00B9501B" w:rsidRPr="00324303" w:rsidRDefault="009B1AD0"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B9501B" w:rsidRPr="00324303">
        <w:rPr>
          <w:rFonts w:eastAsia="MS Mincho" w:cs="Arial"/>
          <w:spacing w:val="-3"/>
          <w:sz w:val="22"/>
          <w:szCs w:val="22"/>
        </w:rPr>
        <w:t xml:space="preserve">Daily Rate/day </w:t>
      </w:r>
    </w:p>
    <w:p w14:paraId="43E5AF4E" w14:textId="77777777" w:rsidR="00B9501B" w:rsidRPr="00324303"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D83196D" w14:textId="77777777" w:rsidR="00B9501B" w:rsidRPr="00AB79CA"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2A22FFAD" w14:textId="03B8CF83" w:rsidR="00B9501B" w:rsidRPr="00B9501B"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t xml:space="preserve">Communication allowance /month </w:t>
      </w:r>
      <w:r w:rsidRPr="00324303">
        <w:rPr>
          <w:rFonts w:eastAsia="MS Mincho" w:cs="Arial"/>
          <w:spacing w:val="-3"/>
          <w:sz w:val="22"/>
          <w:szCs w:val="22"/>
        </w:rPr>
        <w:tab/>
        <w:t xml:space="preserve">              ----    P </w:t>
      </w:r>
      <w:r w:rsidRPr="00324303">
        <w:rPr>
          <w:rFonts w:cs="Arial"/>
          <w:bCs/>
          <w:sz w:val="22"/>
          <w:szCs w:val="22"/>
        </w:rPr>
        <w:t>${Value10a}</w:t>
      </w:r>
    </w:p>
    <w:p w14:paraId="61D22AFC" w14:textId="0F76B011" w:rsidR="00B9501B" w:rsidRPr="00B9501B"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 xml:space="preserve">            Meal allowance/day</w:t>
      </w:r>
      <w:r>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e</w:t>
      </w:r>
      <w:r w:rsidRPr="00324303">
        <w:rPr>
          <w:rFonts w:cs="Arial"/>
          <w:bCs/>
          <w:sz w:val="22"/>
          <w:szCs w:val="22"/>
        </w:rPr>
        <w:t>}</w:t>
      </w:r>
    </w:p>
    <w:p w14:paraId="56C7F257" w14:textId="77777777" w:rsidR="00B9501B" w:rsidRPr="00324303" w:rsidRDefault="00B9501B"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ab/>
        <w:t>Transportation allowance/day</w:t>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w:t>
      </w:r>
      <w:r>
        <w:rPr>
          <w:rFonts w:cs="Arial"/>
          <w:bCs/>
          <w:sz w:val="22"/>
          <w:szCs w:val="22"/>
        </w:rPr>
        <w:t>10b</w:t>
      </w:r>
      <w:r w:rsidRPr="00324303">
        <w:rPr>
          <w:rFonts w:cs="Arial"/>
          <w:bCs/>
          <w:sz w:val="22"/>
          <w:szCs w:val="22"/>
        </w:rPr>
        <w:t>}</w:t>
      </w:r>
    </w:p>
    <w:p w14:paraId="1996E018" w14:textId="3B742607" w:rsidR="009B1AD0" w:rsidRDefault="009B1AD0" w:rsidP="00B950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117E2F94" w14:textId="77777777" w:rsidR="001272B5" w:rsidRPr="00B9501B" w:rsidRDefault="001272B5" w:rsidP="00B9501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F5C50CB"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F76B4A">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4E4BDF8B"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C26FC0" w14:textId="4FA97185" w:rsidR="003F4DC2" w:rsidRPr="00ED4C45" w:rsidRDefault="00B9501B" w:rsidP="003F4DC2">
      <w:pPr>
        <w:pStyle w:val="NoSpacing"/>
        <w:jc w:val="center"/>
        <w:rPr>
          <w:rFonts w:ascii="Arial" w:hAnsi="Arial" w:cs="Arial"/>
          <w:b/>
        </w:rPr>
      </w:pPr>
      <w:r>
        <w:rPr>
          <w:rFonts w:ascii="Arial" w:hAnsi="Arial" w:cs="Arial"/>
          <w:b/>
        </w:rPr>
        <w:t>MERCHANDISER</w:t>
      </w:r>
      <w:r w:rsidR="003F4DC2" w:rsidRPr="00ED4C45">
        <w:rPr>
          <w:rFonts w:ascii="Arial" w:hAnsi="Arial" w:cs="Arial"/>
          <w:b/>
        </w:rPr>
        <w:t>’S KPI</w:t>
      </w:r>
    </w:p>
    <w:p w14:paraId="5D45D657" w14:textId="6E40659D" w:rsidR="003F4DC2" w:rsidRDefault="003F4DC2" w:rsidP="003F4DC2">
      <w:pPr>
        <w:pStyle w:val="NoSpacing"/>
        <w:jc w:val="center"/>
        <w:rPr>
          <w:rFonts w:ascii="Arial" w:hAnsi="Arial" w:cs="Arial"/>
          <w:b/>
        </w:rPr>
      </w:pPr>
    </w:p>
    <w:p w14:paraId="5B3CAD48" w14:textId="19E04B88" w:rsidR="003F4DC2" w:rsidRPr="00ED4C45" w:rsidRDefault="003F4DC2" w:rsidP="003F4DC2">
      <w:pPr>
        <w:pStyle w:val="NoSpacing"/>
        <w:jc w:val="center"/>
        <w:rPr>
          <w:rFonts w:ascii="Arial" w:hAnsi="Arial" w:cs="Arial"/>
          <w:b/>
        </w:rPr>
      </w:pPr>
      <w:r>
        <w:rPr>
          <w:rFonts w:ascii="Arial Narrow" w:hAnsi="Arial Narrow"/>
          <w:b/>
          <w:noProof/>
          <w:u w:val="single"/>
        </w:rPr>
        <w:drawing>
          <wp:anchor distT="0" distB="0" distL="114300" distR="114300" simplePos="0" relativeHeight="251659776" behindDoc="0" locked="0" layoutInCell="1" allowOverlap="1" wp14:anchorId="47D5B557" wp14:editId="573C1571">
            <wp:simplePos x="0" y="0"/>
            <wp:positionH relativeFrom="column">
              <wp:posOffset>-333375</wp:posOffset>
            </wp:positionH>
            <wp:positionV relativeFrom="paragraph">
              <wp:posOffset>191135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1D08FA7" w14:textId="77777777" w:rsidR="003F4DC2" w:rsidRPr="00ED4C45" w:rsidRDefault="003F4DC2" w:rsidP="003F4DC2">
      <w:pPr>
        <w:pStyle w:val="NoSpacing"/>
        <w:numPr>
          <w:ilvl w:val="0"/>
          <w:numId w:val="48"/>
        </w:numPr>
        <w:rPr>
          <w:rFonts w:ascii="Arial" w:hAnsi="Arial" w:cs="Arial"/>
        </w:rPr>
      </w:pPr>
      <w:r w:rsidRPr="00ED4C45">
        <w:rPr>
          <w:rFonts w:ascii="Arial" w:hAnsi="Arial" w:cs="Arial"/>
        </w:rPr>
        <w:t>Merchandising Execution</w:t>
      </w:r>
    </w:p>
    <w:p w14:paraId="7923D41A"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Fullness of product display based on the given Plan-o-gram of principals.</w:t>
      </w:r>
    </w:p>
    <w:p w14:paraId="6E8CF2DC"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100% on-shelf availability based on principals must stock list.</w:t>
      </w:r>
    </w:p>
    <w:p w14:paraId="304DE738"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Install and update “Point of Sales Materials” in proper location.</w:t>
      </w:r>
    </w:p>
    <w:p w14:paraId="37AC2E94" w14:textId="77777777" w:rsidR="003F4DC2" w:rsidRPr="00ED4C45" w:rsidRDefault="003F4DC2" w:rsidP="003F4DC2">
      <w:pPr>
        <w:pStyle w:val="NoSpacing"/>
        <w:rPr>
          <w:rFonts w:ascii="Arial" w:hAnsi="Arial" w:cs="Arial"/>
        </w:rPr>
      </w:pPr>
    </w:p>
    <w:p w14:paraId="6383B86F" w14:textId="77777777" w:rsidR="003F4DC2" w:rsidRPr="00ED4C45" w:rsidRDefault="003F4DC2" w:rsidP="003F4DC2">
      <w:pPr>
        <w:pStyle w:val="NoSpacing"/>
        <w:rPr>
          <w:rFonts w:ascii="Arial" w:hAnsi="Arial" w:cs="Arial"/>
        </w:rPr>
      </w:pPr>
      <w:r w:rsidRPr="00ED4C45">
        <w:rPr>
          <w:rFonts w:ascii="Arial" w:hAnsi="Arial" w:cs="Arial"/>
        </w:rPr>
        <w:t xml:space="preserve">        B.</w:t>
      </w:r>
      <w:r w:rsidRPr="00ED4C45">
        <w:rPr>
          <w:rFonts w:ascii="Arial" w:hAnsi="Arial" w:cs="Arial"/>
        </w:rPr>
        <w:tab/>
        <w:t>Report Generation</w:t>
      </w:r>
    </w:p>
    <w:p w14:paraId="4F475DE7" w14:textId="77777777" w:rsidR="003F4DC2" w:rsidRPr="00ED4C45" w:rsidRDefault="003F4DC2" w:rsidP="003F4DC2">
      <w:pPr>
        <w:pStyle w:val="NoSpacing"/>
        <w:rPr>
          <w:rFonts w:ascii="Arial" w:hAnsi="Arial" w:cs="Arial"/>
        </w:rPr>
      </w:pPr>
      <w:r w:rsidRPr="00ED4C45">
        <w:rPr>
          <w:rFonts w:ascii="Arial" w:hAnsi="Arial" w:cs="Arial"/>
        </w:rPr>
        <w:tab/>
        <w:t>●</w:t>
      </w:r>
      <w:r w:rsidRPr="00ED4C45">
        <w:rPr>
          <w:rFonts w:ascii="Arial" w:hAnsi="Arial" w:cs="Arial"/>
        </w:rPr>
        <w:tab/>
        <w:t>On Time and accurate submission of the following reports;</w:t>
      </w:r>
    </w:p>
    <w:p w14:paraId="7FEA501D"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r>
      <w:proofErr w:type="spellStart"/>
      <w:r w:rsidRPr="00ED4C45">
        <w:rPr>
          <w:rFonts w:ascii="Arial" w:hAnsi="Arial" w:cs="Arial"/>
        </w:rPr>
        <w:t>i</w:t>
      </w:r>
      <w:proofErr w:type="spellEnd"/>
      <w:r w:rsidRPr="00ED4C45">
        <w:rPr>
          <w:rFonts w:ascii="Arial" w:hAnsi="Arial" w:cs="Arial"/>
        </w:rPr>
        <w:t>.</w:t>
      </w:r>
      <w:r w:rsidRPr="00ED4C45">
        <w:rPr>
          <w:rFonts w:ascii="Arial" w:hAnsi="Arial" w:cs="Arial"/>
        </w:rPr>
        <w:tab/>
        <w:t>Trade Inventory / Off take Report – Weekly</w:t>
      </w:r>
    </w:p>
    <w:p w14:paraId="5B1069A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w:t>
      </w:r>
      <w:r w:rsidRPr="00ED4C45">
        <w:rPr>
          <w:rFonts w:ascii="Arial" w:hAnsi="Arial" w:cs="Arial"/>
        </w:rPr>
        <w:tab/>
        <w:t>On-Shelf- Availability – Daily</w:t>
      </w:r>
    </w:p>
    <w:p w14:paraId="1FB16ADB"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iii.</w:t>
      </w:r>
      <w:r w:rsidRPr="00ED4C45">
        <w:rPr>
          <w:rFonts w:ascii="Arial" w:hAnsi="Arial" w:cs="Arial"/>
        </w:rPr>
        <w:tab/>
        <w:t>Price Survey – Monthly</w:t>
      </w:r>
    </w:p>
    <w:p w14:paraId="745D28D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iv.</w:t>
      </w:r>
      <w:r w:rsidRPr="00ED4C45">
        <w:rPr>
          <w:rFonts w:ascii="Arial" w:hAnsi="Arial" w:cs="Arial"/>
        </w:rPr>
        <w:tab/>
        <w:t>Competitive report – As needed</w:t>
      </w:r>
    </w:p>
    <w:p w14:paraId="34F41B9E"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w:t>
      </w:r>
      <w:r w:rsidRPr="00ED4C45">
        <w:rPr>
          <w:rFonts w:ascii="Arial" w:hAnsi="Arial" w:cs="Arial"/>
        </w:rPr>
        <w:tab/>
        <w:t>Share of Shelves (SOS) – Quarterly</w:t>
      </w:r>
    </w:p>
    <w:p w14:paraId="13D444B5"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vi.</w:t>
      </w:r>
      <w:r w:rsidRPr="00ED4C45">
        <w:rPr>
          <w:rFonts w:ascii="Arial" w:hAnsi="Arial" w:cs="Arial"/>
        </w:rPr>
        <w:tab/>
        <w:t>Freshness Report – Monthly</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48D4C" w14:textId="77777777" w:rsidR="005B270B" w:rsidRDefault="005B270B">
      <w:r>
        <w:separator/>
      </w:r>
    </w:p>
  </w:endnote>
  <w:endnote w:type="continuationSeparator" w:id="0">
    <w:p w14:paraId="2157B175" w14:textId="77777777" w:rsidR="005B270B" w:rsidRDefault="005B2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5EF29" w14:textId="77777777" w:rsidR="005B270B" w:rsidRDefault="005B270B">
      <w:r>
        <w:separator/>
      </w:r>
    </w:p>
  </w:footnote>
  <w:footnote w:type="continuationSeparator" w:id="0">
    <w:p w14:paraId="5BBBF73E" w14:textId="77777777" w:rsidR="005B270B" w:rsidRDefault="005B270B">
      <w:r>
        <w:separator/>
      </w:r>
    </w:p>
    <w:p w14:paraId="5508E47E" w14:textId="77777777" w:rsidR="005B270B" w:rsidRDefault="005B270B"/>
  </w:footnote>
  <w:footnote w:type="continuationNotice" w:id="1">
    <w:p w14:paraId="1FEC7B79" w14:textId="77777777" w:rsidR="005B270B" w:rsidRDefault="005B270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33FE"/>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270B"/>
    <w:rsid w:val="005B5B3D"/>
    <w:rsid w:val="005D6016"/>
    <w:rsid w:val="005D64A0"/>
    <w:rsid w:val="005E3D52"/>
    <w:rsid w:val="005F0E3A"/>
    <w:rsid w:val="00603280"/>
    <w:rsid w:val="006101C7"/>
    <w:rsid w:val="00611FF7"/>
    <w:rsid w:val="006203E0"/>
    <w:rsid w:val="0062081B"/>
    <w:rsid w:val="00633EF0"/>
    <w:rsid w:val="00636FB3"/>
    <w:rsid w:val="0065582D"/>
    <w:rsid w:val="00664D8C"/>
    <w:rsid w:val="00673C8E"/>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12177"/>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3528A"/>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9501B"/>
    <w:rsid w:val="00BD2365"/>
    <w:rsid w:val="00BE6506"/>
    <w:rsid w:val="00BF4FB8"/>
    <w:rsid w:val="00BF5487"/>
    <w:rsid w:val="00C100D0"/>
    <w:rsid w:val="00C15855"/>
    <w:rsid w:val="00C32A34"/>
    <w:rsid w:val="00C33E73"/>
    <w:rsid w:val="00C343EA"/>
    <w:rsid w:val="00C432DC"/>
    <w:rsid w:val="00C6038E"/>
    <w:rsid w:val="00C654C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76B4A"/>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25E2A715-1878-454D-A929-F4C75797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2019-08-04T13:17:00Z</dcterms:created>
  <dcterms:modified xsi:type="dcterms:W3CDTF">2019-08-05T02:49:00Z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