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bookmarkStart w:id="0" w:name="_GoBack"/>
      <w:bookmarkEnd w:id="0"/>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3392"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1" w:name="_Hlk526502778"/>
      <w:r w:rsidRPr="000646CD">
        <w:rPr>
          <w:rFonts w:ascii="Arial" w:hAnsi="Arial" w:cs="Arial"/>
          <w:b/>
          <w:bCs/>
          <w:sz w:val="22"/>
          <w:szCs w:val="22"/>
        </w:rPr>
        <w:t>${Value1}</w:t>
      </w:r>
      <w:bookmarkEnd w:id="1"/>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2CB0AD" w14:textId="77777777" w:rsidR="00575409" w:rsidRPr="001763D2" w:rsidRDefault="00575409" w:rsidP="00575409">
      <w:pPr>
        <w:numPr>
          <w:ilvl w:val="0"/>
          <w:numId w:val="14"/>
        </w:numPr>
        <w:spacing w:line="240" w:lineRule="auto"/>
        <w:jc w:val="both"/>
        <w:rPr>
          <w:rFonts w:cs="Arial"/>
          <w:sz w:val="22"/>
          <w:szCs w:val="20"/>
        </w:rPr>
      </w:pPr>
      <w:r w:rsidRPr="001763D2">
        <w:rPr>
          <w:rFonts w:cs="Arial"/>
          <w:sz w:val="22"/>
          <w:szCs w:val="20"/>
        </w:rPr>
        <w:t>Process papers for billing;</w:t>
      </w:r>
    </w:p>
    <w:p w14:paraId="0E82B0EC" w14:textId="77777777" w:rsidR="00575409" w:rsidRPr="001763D2" w:rsidRDefault="00575409" w:rsidP="00575409">
      <w:pPr>
        <w:numPr>
          <w:ilvl w:val="0"/>
          <w:numId w:val="14"/>
        </w:numPr>
        <w:spacing w:line="240" w:lineRule="auto"/>
        <w:jc w:val="both"/>
        <w:rPr>
          <w:rFonts w:cs="Arial"/>
          <w:sz w:val="22"/>
          <w:szCs w:val="20"/>
        </w:rPr>
      </w:pPr>
      <w:r w:rsidRPr="001763D2">
        <w:rPr>
          <w:rFonts w:cs="Arial"/>
          <w:sz w:val="22"/>
          <w:szCs w:val="20"/>
        </w:rPr>
        <w:t>Coordinates with Business Divisions 1 personnel assigned for BD1;</w:t>
      </w:r>
    </w:p>
    <w:p w14:paraId="46C9F991" w14:textId="77777777" w:rsidR="00575409" w:rsidRPr="001763D2" w:rsidRDefault="00575409" w:rsidP="00575409">
      <w:pPr>
        <w:numPr>
          <w:ilvl w:val="0"/>
          <w:numId w:val="14"/>
        </w:numPr>
        <w:spacing w:line="240" w:lineRule="auto"/>
        <w:jc w:val="both"/>
        <w:rPr>
          <w:rFonts w:cs="Arial"/>
          <w:sz w:val="22"/>
          <w:szCs w:val="20"/>
        </w:rPr>
      </w:pPr>
      <w:r w:rsidRPr="001763D2">
        <w:rPr>
          <w:rFonts w:cs="Arial"/>
          <w:sz w:val="22"/>
          <w:szCs w:val="20"/>
        </w:rPr>
        <w:t>Process liquidation, reimbursement of BD 1 personnel;</w:t>
      </w:r>
    </w:p>
    <w:p w14:paraId="4D78137B" w14:textId="77777777" w:rsidR="00575409" w:rsidRPr="001763D2" w:rsidRDefault="00575409" w:rsidP="00575409">
      <w:pPr>
        <w:numPr>
          <w:ilvl w:val="0"/>
          <w:numId w:val="14"/>
        </w:numPr>
        <w:spacing w:line="240" w:lineRule="auto"/>
        <w:jc w:val="both"/>
        <w:rPr>
          <w:rFonts w:cs="Arial"/>
          <w:sz w:val="22"/>
          <w:szCs w:val="20"/>
        </w:rPr>
      </w:pPr>
      <w:r w:rsidRPr="001763D2">
        <w:rPr>
          <w:rFonts w:cs="Arial"/>
          <w:sz w:val="22"/>
          <w:szCs w:val="20"/>
        </w:rPr>
        <w:t>Assists the Brand manager regarding documentation and;</w:t>
      </w:r>
    </w:p>
    <w:p w14:paraId="12902D6D" w14:textId="77777777" w:rsidR="00575409" w:rsidRPr="001763D2" w:rsidRDefault="00575409" w:rsidP="00575409">
      <w:pPr>
        <w:numPr>
          <w:ilvl w:val="0"/>
          <w:numId w:val="14"/>
        </w:numPr>
        <w:spacing w:line="240" w:lineRule="auto"/>
        <w:jc w:val="both"/>
        <w:rPr>
          <w:rFonts w:ascii="Arial Narrow" w:hAnsi="Arial Narrow"/>
          <w:szCs w:val="20"/>
        </w:rPr>
      </w:pPr>
      <w:r w:rsidRPr="001763D2">
        <w:rPr>
          <w:rFonts w:cs="Arial"/>
          <w:sz w:val="22"/>
          <w:szCs w:val="20"/>
        </w:rPr>
        <w:t>Follow-up of payments of liquidation and reimbursement of brand activation personnel and merchandising.</w:t>
      </w:r>
    </w:p>
    <w:p w14:paraId="265D3053" w14:textId="65F536A9" w:rsidR="00941391" w:rsidRPr="00941391" w:rsidRDefault="00941391"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308E1744"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1F4DA4" w14:textId="09F2606D"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69F2E4" w14:textId="2597DEA2"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44C378" w14:textId="3F0BAB89"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01304160"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9665A5">
        <w:rPr>
          <w:rFonts w:eastAsia="MS Mincho" w:cs="Arial"/>
          <w:spacing w:val="-3"/>
          <w:sz w:val="22"/>
          <w:szCs w:val="22"/>
          <w:lang w:val="en-US"/>
        </w:rPr>
        <w:t>month</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471FA24A"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Rate/</w:t>
      </w:r>
      <w:r w:rsidR="001B026B">
        <w:rPr>
          <w:rFonts w:eastAsia="MS Mincho" w:cs="Arial"/>
          <w:spacing w:val="-3"/>
          <w:sz w:val="22"/>
          <w:szCs w:val="22"/>
        </w:rPr>
        <w:t>month</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2" w:name="_Hlk15856665"/>
      <w:r w:rsidRPr="00324303">
        <w:rPr>
          <w:rFonts w:eastAsia="MS Mincho" w:cs="Arial"/>
          <w:spacing w:val="-3"/>
          <w:sz w:val="22"/>
          <w:szCs w:val="22"/>
        </w:rPr>
        <w:t xml:space="preserve">P </w:t>
      </w:r>
      <w:bookmarkStart w:id="3"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2"/>
    <w:bookmarkEnd w:id="3"/>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8F4056" w:rsidR="00A72E0E" w:rsidRDefault="00575409"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536" behindDoc="0" locked="0" layoutInCell="1" allowOverlap="1" wp14:anchorId="58502520" wp14:editId="258CC129">
            <wp:simplePos x="0" y="0"/>
            <wp:positionH relativeFrom="column">
              <wp:posOffset>-314325</wp:posOffset>
            </wp:positionH>
            <wp:positionV relativeFrom="paragraph">
              <wp:posOffset>235585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2FC003B" w14:textId="22CFF9E1"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CFA25F6"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E8603B" w14:textId="5FEF260B"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4934FDB" w14:textId="3A4E4620"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E51543" w14:textId="292761E5"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E3499C" w14:textId="6575516E"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04579" w14:textId="77777777" w:rsidR="0014067D" w:rsidRDefault="0014067D">
      <w:r>
        <w:separator/>
      </w:r>
    </w:p>
  </w:endnote>
  <w:endnote w:type="continuationSeparator" w:id="0">
    <w:p w14:paraId="32B87A4B" w14:textId="77777777" w:rsidR="0014067D" w:rsidRDefault="0014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5E768" w14:textId="77777777" w:rsidR="0014067D" w:rsidRDefault="0014067D">
      <w:r>
        <w:separator/>
      </w:r>
    </w:p>
  </w:footnote>
  <w:footnote w:type="continuationSeparator" w:id="0">
    <w:p w14:paraId="0EE45753" w14:textId="77777777" w:rsidR="0014067D" w:rsidRDefault="0014067D">
      <w:r>
        <w:separator/>
      </w:r>
    </w:p>
    <w:p w14:paraId="68F6C0B9" w14:textId="77777777" w:rsidR="0014067D" w:rsidRDefault="0014067D"/>
  </w:footnote>
  <w:footnote w:type="continuationNotice" w:id="1">
    <w:p w14:paraId="591FAB39" w14:textId="77777777" w:rsidR="0014067D" w:rsidRDefault="0014067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4067D"/>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75A10F6-4E2B-417F-BAA6-5914F2BB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2019-08-04T16:24:00Z</dcterms:created>
  <dcterms:modified xsi:type="dcterms:W3CDTF">2019-08-04T16:24:00Z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