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3C03F0">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16768"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3C03F0">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5DC5C4EC" w:rsidR="009514ED" w:rsidRPr="00C00E2D" w:rsidRDefault="00F94627" w:rsidP="003C03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720686E" w14:textId="77777777" w:rsidR="00C00E2D" w:rsidRPr="00F0533A" w:rsidRDefault="00C00E2D" w:rsidP="003C03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tbl>
      <w:tblPr>
        <w:tblStyle w:val="TableGrid"/>
        <w:tblW w:w="0" w:type="auto"/>
        <w:tblLook w:val="04A0" w:firstRow="1" w:lastRow="0" w:firstColumn="1" w:lastColumn="0" w:noHBand="0" w:noVBand="1"/>
      </w:tblPr>
      <w:tblGrid>
        <w:gridCol w:w="2296"/>
        <w:gridCol w:w="4860"/>
        <w:gridCol w:w="2245"/>
      </w:tblGrid>
      <w:tr w:rsidR="00C00E2D" w:rsidRPr="00721EAC" w14:paraId="0B7ACBEC" w14:textId="77777777" w:rsidTr="009030BE">
        <w:tc>
          <w:tcPr>
            <w:tcW w:w="2245" w:type="dxa"/>
            <w:shd w:val="clear" w:color="auto" w:fill="A6A6A6" w:themeFill="background1" w:themeFillShade="A6"/>
          </w:tcPr>
          <w:p w14:paraId="6E7DB624" w14:textId="77777777" w:rsidR="00C00E2D" w:rsidRPr="00721EAC" w:rsidRDefault="00C00E2D" w:rsidP="009030BE">
            <w:pPr>
              <w:jc w:val="center"/>
              <w:rPr>
                <w:b/>
              </w:rPr>
            </w:pPr>
            <w:r w:rsidRPr="00721EAC">
              <w:rPr>
                <w:b/>
              </w:rPr>
              <w:t>TYPE OF REPORT</w:t>
            </w:r>
          </w:p>
        </w:tc>
        <w:tc>
          <w:tcPr>
            <w:tcW w:w="4860" w:type="dxa"/>
            <w:shd w:val="clear" w:color="auto" w:fill="A6A6A6" w:themeFill="background1" w:themeFillShade="A6"/>
          </w:tcPr>
          <w:p w14:paraId="67C17CC2" w14:textId="77777777" w:rsidR="00C00E2D" w:rsidRPr="00721EAC" w:rsidRDefault="00C00E2D" w:rsidP="009030BE">
            <w:pPr>
              <w:jc w:val="center"/>
              <w:rPr>
                <w:b/>
              </w:rPr>
            </w:pPr>
            <w:r w:rsidRPr="00721EAC">
              <w:rPr>
                <w:b/>
              </w:rPr>
              <w:t>PARTICULARS</w:t>
            </w:r>
          </w:p>
        </w:tc>
        <w:tc>
          <w:tcPr>
            <w:tcW w:w="2245" w:type="dxa"/>
            <w:shd w:val="clear" w:color="auto" w:fill="A6A6A6" w:themeFill="background1" w:themeFillShade="A6"/>
          </w:tcPr>
          <w:p w14:paraId="04DC1E15" w14:textId="77777777" w:rsidR="00C00E2D" w:rsidRPr="00721EAC" w:rsidRDefault="00C00E2D" w:rsidP="009030BE">
            <w:pPr>
              <w:jc w:val="center"/>
              <w:rPr>
                <w:b/>
              </w:rPr>
            </w:pPr>
            <w:r w:rsidRPr="00721EAC">
              <w:rPr>
                <w:b/>
              </w:rPr>
              <w:t>TIMINGS</w:t>
            </w:r>
          </w:p>
        </w:tc>
      </w:tr>
      <w:tr w:rsidR="00C00E2D" w:rsidRPr="00F067AC" w14:paraId="48BE184E" w14:textId="77777777" w:rsidTr="009030BE">
        <w:tc>
          <w:tcPr>
            <w:tcW w:w="2245" w:type="dxa"/>
          </w:tcPr>
          <w:p w14:paraId="00EDCA5F" w14:textId="77777777" w:rsidR="00C00E2D" w:rsidRDefault="00C00E2D" w:rsidP="009030BE">
            <w:pPr>
              <w:rPr>
                <w:b/>
                <w:u w:val="single"/>
              </w:rPr>
            </w:pPr>
            <w:r>
              <w:t>Downtime Reports</w:t>
            </w:r>
          </w:p>
        </w:tc>
        <w:tc>
          <w:tcPr>
            <w:tcW w:w="4860" w:type="dxa"/>
          </w:tcPr>
          <w:p w14:paraId="3D794360" w14:textId="77777777" w:rsidR="00C00E2D" w:rsidRPr="00F067AC" w:rsidRDefault="00C00E2D" w:rsidP="009030BE">
            <w:r>
              <w:t>Gathering of downtime reports from the Area Hubs</w:t>
            </w:r>
          </w:p>
        </w:tc>
        <w:tc>
          <w:tcPr>
            <w:tcW w:w="2245" w:type="dxa"/>
          </w:tcPr>
          <w:p w14:paraId="701AA1CD" w14:textId="77777777" w:rsidR="00C00E2D" w:rsidRPr="00F067AC" w:rsidRDefault="00C00E2D" w:rsidP="009030BE">
            <w:r w:rsidRPr="00F067AC">
              <w:t>Weekly and Monthly</w:t>
            </w:r>
          </w:p>
        </w:tc>
      </w:tr>
      <w:tr w:rsidR="00C00E2D" w14:paraId="2C594392" w14:textId="77777777" w:rsidTr="009030BE">
        <w:tc>
          <w:tcPr>
            <w:tcW w:w="2245" w:type="dxa"/>
            <w:vMerge w:val="restart"/>
          </w:tcPr>
          <w:p w14:paraId="3FB7324A" w14:textId="77777777" w:rsidR="00C00E2D" w:rsidRDefault="00C00E2D" w:rsidP="009030BE">
            <w:pPr>
              <w:rPr>
                <w:b/>
                <w:u w:val="single"/>
              </w:rPr>
            </w:pPr>
            <w:r>
              <w:t>Perfect Community Report</w:t>
            </w:r>
          </w:p>
        </w:tc>
        <w:tc>
          <w:tcPr>
            <w:tcW w:w="4860" w:type="dxa"/>
          </w:tcPr>
          <w:p w14:paraId="7211256F" w14:textId="77777777" w:rsidR="00C00E2D" w:rsidRDefault="00C00E2D" w:rsidP="009030BE">
            <w:pPr>
              <w:rPr>
                <w:b/>
                <w:u w:val="single"/>
              </w:rPr>
            </w:pPr>
            <w:r>
              <w:t>Download Superstore Data Weekly &amp; Consolidate and layout in the Dashboard (Historical to YTD)</w:t>
            </w:r>
          </w:p>
        </w:tc>
        <w:tc>
          <w:tcPr>
            <w:tcW w:w="2245" w:type="dxa"/>
          </w:tcPr>
          <w:p w14:paraId="16D60A63" w14:textId="77777777" w:rsidR="00C00E2D" w:rsidRDefault="00C00E2D" w:rsidP="009030BE">
            <w:pPr>
              <w:rPr>
                <w:b/>
                <w:u w:val="single"/>
              </w:rPr>
            </w:pPr>
            <w:r>
              <w:t>Weekly</w:t>
            </w:r>
          </w:p>
        </w:tc>
      </w:tr>
      <w:tr w:rsidR="00C00E2D" w14:paraId="4A8D01A4" w14:textId="77777777" w:rsidTr="009030BE">
        <w:tc>
          <w:tcPr>
            <w:tcW w:w="2245" w:type="dxa"/>
            <w:vMerge/>
          </w:tcPr>
          <w:p w14:paraId="7781F614" w14:textId="77777777" w:rsidR="00C00E2D" w:rsidRDefault="00C00E2D" w:rsidP="009030BE">
            <w:pPr>
              <w:rPr>
                <w:b/>
                <w:u w:val="single"/>
              </w:rPr>
            </w:pPr>
          </w:p>
        </w:tc>
        <w:tc>
          <w:tcPr>
            <w:tcW w:w="4860" w:type="dxa"/>
          </w:tcPr>
          <w:p w14:paraId="4FCA4664" w14:textId="77777777" w:rsidR="00C00E2D" w:rsidRDefault="00C00E2D" w:rsidP="009030BE">
            <w:pPr>
              <w:rPr>
                <w:b/>
                <w:u w:val="single"/>
              </w:rPr>
            </w:pPr>
            <w:r>
              <w:t>Download COTC Data &amp; Consolidated and layout in the Dashboard (Historical to YTD)</w:t>
            </w:r>
          </w:p>
        </w:tc>
        <w:tc>
          <w:tcPr>
            <w:tcW w:w="2245" w:type="dxa"/>
          </w:tcPr>
          <w:p w14:paraId="1DFB3E2D" w14:textId="77777777" w:rsidR="00C00E2D" w:rsidRDefault="00C00E2D" w:rsidP="009030BE">
            <w:pPr>
              <w:rPr>
                <w:b/>
                <w:u w:val="single"/>
              </w:rPr>
            </w:pPr>
            <w:r>
              <w:t>Weekly</w:t>
            </w:r>
          </w:p>
        </w:tc>
      </w:tr>
      <w:tr w:rsidR="00C00E2D" w14:paraId="454EBC4C" w14:textId="77777777" w:rsidTr="009030BE">
        <w:tc>
          <w:tcPr>
            <w:tcW w:w="2245" w:type="dxa"/>
            <w:vMerge w:val="restart"/>
          </w:tcPr>
          <w:p w14:paraId="1E84BA63" w14:textId="77777777" w:rsidR="00C00E2D" w:rsidRDefault="00C00E2D" w:rsidP="009030BE">
            <w:pPr>
              <w:rPr>
                <w:b/>
                <w:u w:val="single"/>
              </w:rPr>
            </w:pPr>
            <w:proofErr w:type="spellStart"/>
            <w:r>
              <w:t>SuperStore</w:t>
            </w:r>
            <w:proofErr w:type="spellEnd"/>
            <w:r>
              <w:t xml:space="preserve"> </w:t>
            </w:r>
            <w:r>
              <w:lastRenderedPageBreak/>
              <w:t>Database/Dashboard</w:t>
            </w:r>
          </w:p>
        </w:tc>
        <w:tc>
          <w:tcPr>
            <w:tcW w:w="4860" w:type="dxa"/>
          </w:tcPr>
          <w:p w14:paraId="64EF1837" w14:textId="77777777" w:rsidR="00C00E2D" w:rsidRDefault="00C00E2D" w:rsidP="009030BE">
            <w:pPr>
              <w:rPr>
                <w:b/>
                <w:u w:val="single"/>
              </w:rPr>
            </w:pPr>
            <w:r>
              <w:lastRenderedPageBreak/>
              <w:t>Download Superstore Data (Historical to YTD)</w:t>
            </w:r>
          </w:p>
        </w:tc>
        <w:tc>
          <w:tcPr>
            <w:tcW w:w="2245" w:type="dxa"/>
          </w:tcPr>
          <w:p w14:paraId="4380F549" w14:textId="77777777" w:rsidR="00C00E2D" w:rsidRDefault="00C00E2D" w:rsidP="009030BE">
            <w:pPr>
              <w:rPr>
                <w:b/>
                <w:u w:val="single"/>
              </w:rPr>
            </w:pPr>
            <w:r>
              <w:t>Weekly</w:t>
            </w:r>
          </w:p>
        </w:tc>
      </w:tr>
      <w:tr w:rsidR="00C00E2D" w14:paraId="6EB13FA3" w14:textId="77777777" w:rsidTr="009030BE">
        <w:tc>
          <w:tcPr>
            <w:tcW w:w="2245" w:type="dxa"/>
            <w:vMerge/>
          </w:tcPr>
          <w:p w14:paraId="789A9416" w14:textId="77777777" w:rsidR="00C00E2D" w:rsidRDefault="00C00E2D" w:rsidP="009030BE">
            <w:pPr>
              <w:rPr>
                <w:b/>
                <w:u w:val="single"/>
              </w:rPr>
            </w:pPr>
          </w:p>
        </w:tc>
        <w:tc>
          <w:tcPr>
            <w:tcW w:w="4860" w:type="dxa"/>
          </w:tcPr>
          <w:p w14:paraId="5D300015" w14:textId="77777777" w:rsidR="00C00E2D" w:rsidRDefault="00C00E2D" w:rsidP="009030BE">
            <w:pPr>
              <w:rPr>
                <w:b/>
                <w:u w:val="single"/>
              </w:rPr>
            </w:pPr>
            <w:r>
              <w:t xml:space="preserve">Create Survey Report to send it to RL’s </w:t>
            </w:r>
          </w:p>
        </w:tc>
        <w:tc>
          <w:tcPr>
            <w:tcW w:w="2245" w:type="dxa"/>
          </w:tcPr>
          <w:p w14:paraId="15801BA5" w14:textId="77777777" w:rsidR="00C00E2D" w:rsidRDefault="00C00E2D" w:rsidP="009030BE">
            <w:pPr>
              <w:rPr>
                <w:b/>
                <w:u w:val="single"/>
              </w:rPr>
            </w:pPr>
            <w:r>
              <w:t>Weekly</w:t>
            </w:r>
          </w:p>
        </w:tc>
      </w:tr>
      <w:tr w:rsidR="00C00E2D" w14:paraId="248045D0" w14:textId="77777777" w:rsidTr="009030BE">
        <w:tc>
          <w:tcPr>
            <w:tcW w:w="2245" w:type="dxa"/>
            <w:vMerge w:val="restart"/>
          </w:tcPr>
          <w:p w14:paraId="20E340FC" w14:textId="77777777" w:rsidR="00C00E2D" w:rsidRDefault="00C00E2D" w:rsidP="009030BE">
            <w:pPr>
              <w:rPr>
                <w:b/>
                <w:u w:val="single"/>
              </w:rPr>
            </w:pPr>
            <w:r>
              <w:t>Super Dash Report</w:t>
            </w:r>
          </w:p>
        </w:tc>
        <w:tc>
          <w:tcPr>
            <w:tcW w:w="4860" w:type="dxa"/>
          </w:tcPr>
          <w:p w14:paraId="4940C542" w14:textId="77777777" w:rsidR="00C00E2D" w:rsidRDefault="00C00E2D" w:rsidP="009030BE">
            <w:r>
              <w:t>Consolidation of Data</w:t>
            </w:r>
          </w:p>
        </w:tc>
        <w:tc>
          <w:tcPr>
            <w:tcW w:w="2245" w:type="dxa"/>
          </w:tcPr>
          <w:p w14:paraId="54DC5A47" w14:textId="77777777" w:rsidR="00C00E2D" w:rsidRDefault="00C00E2D" w:rsidP="009030BE">
            <w:r>
              <w:t>1</w:t>
            </w:r>
            <w:r w:rsidRPr="00F54857">
              <w:rPr>
                <w:vertAlign w:val="superscript"/>
              </w:rPr>
              <w:t>st</w:t>
            </w:r>
            <w:r>
              <w:rPr>
                <w:vertAlign w:val="superscript"/>
              </w:rPr>
              <w:t xml:space="preserve"> </w:t>
            </w:r>
            <w:proofErr w:type="gramStart"/>
            <w:r>
              <w:rPr>
                <w:vertAlign w:val="superscript"/>
              </w:rPr>
              <w:t xml:space="preserve">to </w:t>
            </w:r>
            <w:r>
              <w:t xml:space="preserve"> 3</w:t>
            </w:r>
            <w:proofErr w:type="gramEnd"/>
            <w:r w:rsidRPr="00F54857">
              <w:rPr>
                <w:vertAlign w:val="superscript"/>
              </w:rPr>
              <w:t>RD</w:t>
            </w:r>
            <w:r>
              <w:t xml:space="preserve"> Day of the first week of the Month soon weekly basis also </w:t>
            </w:r>
          </w:p>
        </w:tc>
      </w:tr>
      <w:tr w:rsidR="00C00E2D" w14:paraId="1F5E652E" w14:textId="77777777" w:rsidTr="009030BE">
        <w:tc>
          <w:tcPr>
            <w:tcW w:w="2245" w:type="dxa"/>
            <w:vMerge/>
          </w:tcPr>
          <w:p w14:paraId="6803053E" w14:textId="77777777" w:rsidR="00C00E2D" w:rsidRDefault="00C00E2D" w:rsidP="009030BE"/>
        </w:tc>
        <w:tc>
          <w:tcPr>
            <w:tcW w:w="4860" w:type="dxa"/>
          </w:tcPr>
          <w:p w14:paraId="56ECFCB4" w14:textId="77777777" w:rsidR="00C00E2D" w:rsidRDefault="00C00E2D" w:rsidP="009030BE">
            <w:proofErr w:type="spellStart"/>
            <w:proofErr w:type="gramStart"/>
            <w:r>
              <w:t>Reach;Downtime</w:t>
            </w:r>
            <w:proofErr w:type="gramEnd"/>
            <w:r>
              <w:t>;Coverate;Sales</w:t>
            </w:r>
            <w:proofErr w:type="spellEnd"/>
          </w:p>
        </w:tc>
        <w:tc>
          <w:tcPr>
            <w:tcW w:w="2245" w:type="dxa"/>
          </w:tcPr>
          <w:p w14:paraId="5CA775C8" w14:textId="77777777" w:rsidR="00C00E2D" w:rsidRDefault="00C00E2D" w:rsidP="009030BE"/>
        </w:tc>
      </w:tr>
      <w:tr w:rsidR="00C00E2D" w14:paraId="63951D76" w14:textId="77777777" w:rsidTr="009030BE">
        <w:tc>
          <w:tcPr>
            <w:tcW w:w="2245" w:type="dxa"/>
          </w:tcPr>
          <w:p w14:paraId="035C624B" w14:textId="77777777" w:rsidR="00C00E2D" w:rsidRDefault="00C00E2D" w:rsidP="009030BE">
            <w:r>
              <w:t>SOG Report</w:t>
            </w:r>
          </w:p>
        </w:tc>
        <w:tc>
          <w:tcPr>
            <w:tcW w:w="4860" w:type="dxa"/>
          </w:tcPr>
          <w:p w14:paraId="0A337CCA" w14:textId="77777777" w:rsidR="00C00E2D" w:rsidRDefault="00C00E2D" w:rsidP="009030BE">
            <w:r>
              <w:t>Gathering Sales Data of SSS &amp; Superstore Historical &amp; YTD</w:t>
            </w:r>
          </w:p>
        </w:tc>
        <w:tc>
          <w:tcPr>
            <w:tcW w:w="2245" w:type="dxa"/>
          </w:tcPr>
          <w:p w14:paraId="744704EE" w14:textId="77777777" w:rsidR="00C00E2D" w:rsidRDefault="00C00E2D" w:rsidP="009030BE">
            <w:r>
              <w:t>3</w:t>
            </w:r>
            <w:r w:rsidRPr="00F54857">
              <w:rPr>
                <w:vertAlign w:val="superscript"/>
              </w:rPr>
              <w:t>Rd</w:t>
            </w:r>
            <w:r>
              <w:t xml:space="preserve"> week of the Month (whole week)</w:t>
            </w:r>
          </w:p>
        </w:tc>
      </w:tr>
      <w:tr w:rsidR="00C00E2D" w14:paraId="1FE797DD" w14:textId="77777777" w:rsidTr="009030BE">
        <w:tc>
          <w:tcPr>
            <w:tcW w:w="2245" w:type="dxa"/>
            <w:shd w:val="clear" w:color="auto" w:fill="auto"/>
          </w:tcPr>
          <w:p w14:paraId="6A983392" w14:textId="77777777" w:rsidR="00C00E2D" w:rsidRDefault="00C00E2D" w:rsidP="009030BE">
            <w:r>
              <w:t>Add-</w:t>
            </w:r>
            <w:proofErr w:type="spellStart"/>
            <w:r>
              <w:t>Hocs</w:t>
            </w:r>
            <w:proofErr w:type="spellEnd"/>
          </w:p>
        </w:tc>
        <w:tc>
          <w:tcPr>
            <w:tcW w:w="4860" w:type="dxa"/>
            <w:shd w:val="clear" w:color="auto" w:fill="auto"/>
          </w:tcPr>
          <w:p w14:paraId="6BFF63F8" w14:textId="77777777" w:rsidR="00C00E2D" w:rsidRDefault="00C00E2D" w:rsidP="009030BE">
            <w:r>
              <w:t xml:space="preserve">Additional Task to download certain file or consolidated </w:t>
            </w:r>
          </w:p>
        </w:tc>
        <w:tc>
          <w:tcPr>
            <w:tcW w:w="2245" w:type="dxa"/>
            <w:shd w:val="clear" w:color="auto" w:fill="auto"/>
          </w:tcPr>
          <w:p w14:paraId="3FAB0B91" w14:textId="77777777" w:rsidR="00C00E2D" w:rsidRDefault="00C00E2D" w:rsidP="009030BE">
            <w:r>
              <w:t>If needed</w:t>
            </w:r>
          </w:p>
        </w:tc>
      </w:tr>
    </w:tbl>
    <w:p w14:paraId="3AADF377" w14:textId="77777777" w:rsidR="003B55E4" w:rsidRPr="006F2606" w:rsidRDefault="003B55E4" w:rsidP="00C00E2D">
      <w:pPr>
        <w:ind w:right="-90"/>
        <w:jc w:val="center"/>
        <w:rPr>
          <w:rFonts w:asciiTheme="majorHAnsi" w:hAnsiTheme="majorHAnsi" w:cstheme="majorHAnsi"/>
          <w:sz w:val="22"/>
          <w:szCs w:val="22"/>
        </w:rPr>
      </w:pPr>
    </w:p>
    <w:p w14:paraId="79E19B74" w14:textId="0D0E524B" w:rsidR="00E72A0F" w:rsidRPr="000B60D8"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3C03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CC399E" w14:textId="0EC30845" w:rsidR="00462A8D" w:rsidRPr="00462A8D"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62A8D">
        <w:rPr>
          <w:rFonts w:eastAsia="MS Mincho" w:cs="Arial"/>
          <w:b/>
          <w:spacing w:val="-3"/>
          <w:sz w:val="22"/>
          <w:szCs w:val="22"/>
          <w:lang w:val="en-US"/>
        </w:rPr>
        <w:t>DURATION OF EMPLOYMENT</w:t>
      </w:r>
      <w:r w:rsidRPr="00462A8D">
        <w:rPr>
          <w:rFonts w:eastAsia="MS Mincho" w:cs="Arial"/>
          <w:spacing w:val="-3"/>
          <w:sz w:val="22"/>
          <w:szCs w:val="22"/>
          <w:lang w:val="en-US"/>
        </w:rPr>
        <w:t>.</w:t>
      </w:r>
      <w:r w:rsidRPr="00462A8D">
        <w:rPr>
          <w:rFonts w:eastAsia="MS Mincho" w:cs="Arial"/>
          <w:spacing w:val="-3"/>
          <w:sz w:val="24"/>
          <w:lang w:val="en-US"/>
        </w:rPr>
        <w:t xml:space="preserve"> </w:t>
      </w:r>
      <w:r w:rsidR="002C7A96" w:rsidRPr="002C7A96">
        <w:rPr>
          <w:rFonts w:eastAsia="MS Mincho" w:cs="Arial"/>
          <w:color w:val="000000" w:themeColor="text1"/>
          <w:spacing w:val="-3"/>
          <w:sz w:val="22"/>
          <w:szCs w:val="22"/>
          <w:lang w:val="en-US"/>
        </w:rPr>
        <w:t xml:space="preserve">Employee will commence to perform the services in favor of </w:t>
      </w:r>
      <w:r w:rsidR="002C7A96" w:rsidRPr="002C7A96">
        <w:rPr>
          <w:rFonts w:cs="Arial"/>
          <w:b/>
          <w:bCs/>
          <w:sz w:val="22"/>
        </w:rPr>
        <w:t>${Value3</w:t>
      </w:r>
      <w:proofErr w:type="gramStart"/>
      <w:r w:rsidR="002C7A96" w:rsidRPr="002C7A96">
        <w:rPr>
          <w:rFonts w:cs="Arial"/>
          <w:b/>
          <w:bCs/>
          <w:sz w:val="22"/>
        </w:rPr>
        <w:t xml:space="preserve">} </w:t>
      </w:r>
      <w:r w:rsidR="002C7A96" w:rsidRPr="002C7A96">
        <w:rPr>
          <w:rFonts w:cs="Arial"/>
          <w:b/>
          <w:color w:val="000000" w:themeColor="text1"/>
          <w:sz w:val="22"/>
          <w:szCs w:val="22"/>
        </w:rPr>
        <w:t xml:space="preserve"> </w:t>
      </w:r>
      <w:r w:rsidR="002C7A96" w:rsidRPr="002C7A96">
        <w:rPr>
          <w:rFonts w:eastAsia="MS Mincho" w:cs="Arial"/>
          <w:color w:val="000000" w:themeColor="text1"/>
          <w:spacing w:val="-3"/>
          <w:sz w:val="22"/>
          <w:szCs w:val="22"/>
          <w:lang w:val="en-US"/>
        </w:rPr>
        <w:t>from</w:t>
      </w:r>
      <w:proofErr w:type="gramEnd"/>
      <w:r w:rsidR="002C7A96" w:rsidRPr="002C7A96">
        <w:rPr>
          <w:rFonts w:eastAsia="MS Mincho" w:cs="Arial"/>
          <w:color w:val="000000" w:themeColor="text1"/>
          <w:spacing w:val="-3"/>
          <w:sz w:val="22"/>
          <w:szCs w:val="22"/>
          <w:lang w:val="en-US"/>
        </w:rPr>
        <w:t xml:space="preserve"> </w:t>
      </w:r>
      <w:r w:rsidR="002C7A96" w:rsidRPr="002C7A96">
        <w:rPr>
          <w:rFonts w:cs="Arial"/>
          <w:b/>
          <w:bCs/>
          <w:sz w:val="22"/>
        </w:rPr>
        <w:t>${Value8} to ${Deo9}.</w:t>
      </w:r>
      <w:r w:rsidR="00462A8D" w:rsidRPr="00462A8D">
        <w:rPr>
          <w:rFonts w:eastAsia="MS Mincho" w:cs="Arial"/>
          <w:color w:val="000000" w:themeColor="text1"/>
          <w:spacing w:val="-3"/>
          <w:sz w:val="22"/>
          <w:szCs w:val="22"/>
          <w:lang w:val="en-US"/>
        </w:rPr>
        <w:t xml:space="preserve"> </w:t>
      </w:r>
    </w:p>
    <w:p w14:paraId="4383AFE6" w14:textId="59CD63B2" w:rsidR="009B1AD0" w:rsidRPr="00462A8D" w:rsidRDefault="009B1AD0" w:rsidP="00462A8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3E95EEB" w:rsidR="006F2606" w:rsidRPr="006F2606" w:rsidRDefault="00C00E2D"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6192" behindDoc="0" locked="0" layoutInCell="1" allowOverlap="1" wp14:anchorId="576CDB54" wp14:editId="2684360A">
            <wp:simplePos x="0" y="0"/>
            <wp:positionH relativeFrom="column">
              <wp:posOffset>-333375</wp:posOffset>
            </wp:positionH>
            <wp:positionV relativeFrom="paragraph">
              <wp:posOffset>264160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F2606" w:rsidRPr="006F2606">
        <w:rPr>
          <w:rFonts w:eastAsia="MS Mincho" w:cs="Arial"/>
          <w:color w:val="000000" w:themeColor="text1"/>
          <w:spacing w:val="-3"/>
          <w:sz w:val="22"/>
          <w:szCs w:val="22"/>
          <w:lang w:val="en-US"/>
        </w:rPr>
        <w:t xml:space="preserve">Employee shall receive </w:t>
      </w:r>
      <w:r w:rsidR="006F2606" w:rsidRPr="006F2606">
        <w:rPr>
          <w:rFonts w:eastAsia="MS Mincho" w:cs="Arial"/>
          <w:b/>
          <w:color w:val="000000" w:themeColor="text1"/>
          <w:spacing w:val="-3"/>
          <w:sz w:val="22"/>
          <w:szCs w:val="22"/>
          <w:lang w:val="en-US"/>
        </w:rPr>
        <w:t xml:space="preserve">Php </w:t>
      </w:r>
      <w:r w:rsidR="006F2606" w:rsidRPr="006F2606">
        <w:rPr>
          <w:rFonts w:cs="Arial"/>
          <w:b/>
          <w:bCs/>
          <w:sz w:val="22"/>
        </w:rPr>
        <w:t>${Value10}</w:t>
      </w:r>
      <w:r w:rsidR="006F2606" w:rsidRPr="006F2606">
        <w:rPr>
          <w:rFonts w:eastAsia="MS Mincho" w:cs="Arial"/>
          <w:color w:val="000000" w:themeColor="text1"/>
          <w:spacing w:val="-3"/>
          <w:sz w:val="22"/>
          <w:szCs w:val="22"/>
          <w:lang w:val="en-US"/>
        </w:rPr>
        <w:t xml:space="preserve"> per month, payable every </w:t>
      </w:r>
      <w:r w:rsidR="006F2606" w:rsidRPr="006F2606">
        <w:rPr>
          <w:rFonts w:eastAsia="MS Mincho" w:cs="Arial"/>
          <w:b/>
          <w:color w:val="000000" w:themeColor="text1"/>
          <w:spacing w:val="-3"/>
          <w:sz w:val="22"/>
          <w:szCs w:val="22"/>
          <w:lang w:val="en-US"/>
        </w:rPr>
        <w:t>10</w:t>
      </w:r>
      <w:r w:rsidR="006F2606" w:rsidRPr="006F2606">
        <w:rPr>
          <w:rFonts w:eastAsia="MS Mincho" w:cs="Arial"/>
          <w:b/>
          <w:color w:val="000000" w:themeColor="text1"/>
          <w:spacing w:val="-3"/>
          <w:sz w:val="22"/>
          <w:szCs w:val="22"/>
          <w:vertAlign w:val="superscript"/>
          <w:lang w:val="en-US"/>
        </w:rPr>
        <w:t>th</w:t>
      </w:r>
      <w:r w:rsidR="006F2606" w:rsidRPr="006F2606">
        <w:rPr>
          <w:rFonts w:eastAsia="MS Mincho" w:cs="Arial"/>
          <w:b/>
          <w:color w:val="000000" w:themeColor="text1"/>
          <w:spacing w:val="-3"/>
          <w:sz w:val="22"/>
          <w:szCs w:val="22"/>
          <w:lang w:val="en-US"/>
        </w:rPr>
        <w:t xml:space="preserve"> </w:t>
      </w:r>
      <w:r w:rsidR="006F2606" w:rsidRPr="00CA5384">
        <w:rPr>
          <w:rFonts w:eastAsia="MS Mincho" w:cs="Arial"/>
          <w:bCs/>
          <w:color w:val="000000" w:themeColor="text1"/>
          <w:spacing w:val="-3"/>
          <w:sz w:val="22"/>
          <w:szCs w:val="22"/>
          <w:lang w:val="en-US"/>
        </w:rPr>
        <w:t>and</w:t>
      </w:r>
      <w:r w:rsidR="006F2606" w:rsidRPr="006F2606">
        <w:rPr>
          <w:rFonts w:eastAsia="MS Mincho" w:cs="Arial"/>
          <w:b/>
          <w:color w:val="000000" w:themeColor="text1"/>
          <w:spacing w:val="-3"/>
          <w:sz w:val="22"/>
          <w:szCs w:val="22"/>
          <w:lang w:val="en-US"/>
        </w:rPr>
        <w:t xml:space="preserve"> 25</w:t>
      </w:r>
      <w:r w:rsidR="006F2606" w:rsidRPr="006F2606">
        <w:rPr>
          <w:rFonts w:eastAsia="MS Mincho" w:cs="Arial"/>
          <w:b/>
          <w:color w:val="000000" w:themeColor="text1"/>
          <w:spacing w:val="-3"/>
          <w:sz w:val="22"/>
          <w:szCs w:val="22"/>
          <w:vertAlign w:val="superscript"/>
          <w:lang w:val="en-US"/>
        </w:rPr>
        <w:t>th</w:t>
      </w:r>
      <w:r w:rsidR="006F2606" w:rsidRPr="006F2606">
        <w:rPr>
          <w:rFonts w:eastAsia="MS Mincho" w:cs="Arial"/>
          <w:b/>
          <w:color w:val="000000" w:themeColor="text1"/>
          <w:spacing w:val="-3"/>
          <w:sz w:val="22"/>
          <w:szCs w:val="22"/>
          <w:lang w:val="en-US"/>
        </w:rPr>
        <w:t xml:space="preserve"> </w:t>
      </w:r>
      <w:r w:rsidR="006F2606"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4432F0E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38BD707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407D6570"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55F781B4"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093FE964"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6A7644F0" w14:textId="17E6FEC1" w:rsidR="00462A8D" w:rsidRPr="00FF5135"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28730C0C"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99EC0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802BEE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6D421C6" w:rsidR="009B1AD0"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0607C3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D7E093C" w:rsidR="00690087" w:rsidRPr="00110305"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346E7F5F"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115D557" w:rsidR="00A72E0E" w:rsidRPr="00A72E0E"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EE11DBA" w:rsidR="00A72E0E" w:rsidRDefault="00A72E0E"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FDA3AC0" w:rsidR="005B121A" w:rsidRDefault="005B121A"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8FC9EA" w14:textId="1FEA27D5" w:rsidR="00FF5135" w:rsidRPr="00C00E2D" w:rsidRDefault="005B121A" w:rsidP="00FF513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4F9F11EF" w14:textId="77A65C19"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Pr="00462A8D" w:rsidRDefault="002D0356" w:rsidP="0007191B">
      <w:pPr>
        <w:jc w:val="center"/>
        <w:rPr>
          <w:rFonts w:asciiTheme="majorHAnsi" w:eastAsia="MS Mincho" w:hAnsiTheme="majorHAnsi" w:cstheme="majorHAnsi"/>
          <w:spacing w:val="-3"/>
          <w:sz w:val="22"/>
          <w:szCs w:val="22"/>
          <w:lang w:val="en-US"/>
        </w:rPr>
      </w:pPr>
    </w:p>
    <w:p w14:paraId="2310686B" w14:textId="3E4954D3" w:rsidR="003B55E4" w:rsidRPr="00462A8D" w:rsidRDefault="003B55E4" w:rsidP="003B55E4">
      <w:pPr>
        <w:jc w:val="center"/>
        <w:rPr>
          <w:rFonts w:asciiTheme="majorHAnsi" w:hAnsiTheme="majorHAnsi" w:cstheme="majorHAnsi"/>
          <w:b/>
          <w:color w:val="000000" w:themeColor="text1"/>
          <w:sz w:val="22"/>
          <w:szCs w:val="22"/>
          <w:u w:val="single"/>
        </w:rPr>
      </w:pPr>
    </w:p>
    <w:p w14:paraId="3081463E" w14:textId="1C1ED953" w:rsidR="00462A8D" w:rsidRDefault="00462A8D" w:rsidP="00462A8D">
      <w:pPr>
        <w:rPr>
          <w:rFonts w:asciiTheme="majorHAnsi" w:hAnsiTheme="majorHAnsi" w:cstheme="majorHAnsi"/>
          <w:b/>
          <w:color w:val="000000" w:themeColor="text1"/>
          <w:sz w:val="22"/>
          <w:szCs w:val="22"/>
          <w:u w:val="single"/>
        </w:rPr>
      </w:pPr>
    </w:p>
    <w:p w14:paraId="66840969" w14:textId="7269ED30" w:rsidR="00462A8D" w:rsidRDefault="00462A8D" w:rsidP="00462A8D">
      <w:pPr>
        <w:rPr>
          <w:rFonts w:asciiTheme="majorHAnsi" w:hAnsiTheme="majorHAnsi" w:cstheme="majorHAnsi"/>
          <w:b/>
          <w:color w:val="000000" w:themeColor="text1"/>
          <w:sz w:val="22"/>
          <w:szCs w:val="22"/>
          <w:u w:val="single"/>
        </w:rPr>
      </w:pPr>
    </w:p>
    <w:p w14:paraId="64BD47CA" w14:textId="4C780C3D" w:rsidR="00462A8D" w:rsidRDefault="00462A8D" w:rsidP="00462A8D">
      <w:pPr>
        <w:rPr>
          <w:rFonts w:asciiTheme="majorHAnsi" w:hAnsiTheme="majorHAnsi" w:cstheme="majorHAnsi"/>
          <w:b/>
          <w:color w:val="000000" w:themeColor="text1"/>
          <w:sz w:val="22"/>
          <w:szCs w:val="22"/>
          <w:u w:val="single"/>
        </w:rPr>
      </w:pPr>
    </w:p>
    <w:p w14:paraId="347A63AA" w14:textId="564E52FD" w:rsidR="00462A8D" w:rsidRDefault="00462A8D" w:rsidP="00462A8D">
      <w:pPr>
        <w:rPr>
          <w:rFonts w:asciiTheme="majorHAnsi" w:hAnsiTheme="majorHAnsi" w:cstheme="majorHAnsi"/>
          <w:b/>
          <w:color w:val="000000" w:themeColor="text1"/>
          <w:sz w:val="22"/>
          <w:szCs w:val="22"/>
          <w:u w:val="single"/>
        </w:rPr>
      </w:pPr>
    </w:p>
    <w:p w14:paraId="1A7BA286" w14:textId="6C7EB930" w:rsidR="003B55E4" w:rsidRDefault="003B55E4" w:rsidP="003B55E4">
      <w:pPr>
        <w:jc w:val="center"/>
        <w:rPr>
          <w:rFonts w:asciiTheme="majorHAnsi" w:hAnsiTheme="majorHAnsi" w:cstheme="majorHAnsi"/>
          <w:b/>
          <w:color w:val="000000" w:themeColor="text1"/>
          <w:sz w:val="22"/>
          <w:szCs w:val="22"/>
          <w:u w:val="single"/>
        </w:rPr>
      </w:pPr>
    </w:p>
    <w:p w14:paraId="18C21C0B" w14:textId="77777777" w:rsidR="00C00E2D" w:rsidRPr="000D04DA" w:rsidRDefault="00C00E2D" w:rsidP="00C00E2D">
      <w:pPr>
        <w:pStyle w:val="NoSpacing"/>
        <w:rPr>
          <w:rFonts w:ascii="Arial" w:hAnsi="Arial" w:cs="Arial"/>
          <w:sz w:val="20"/>
          <w:szCs w:val="20"/>
        </w:rPr>
      </w:pPr>
    </w:p>
    <w:p w14:paraId="69BA926F" w14:textId="77777777" w:rsidR="00C00E2D" w:rsidRPr="00C00E2D" w:rsidRDefault="00C00E2D" w:rsidP="00C00E2D">
      <w:pPr>
        <w:pStyle w:val="ListParagraph"/>
        <w:ind w:left="0" w:right="-180"/>
        <w:jc w:val="center"/>
        <w:rPr>
          <w:rStyle w:val="Normal1"/>
          <w:rFonts w:cs="Arial"/>
          <w:b/>
          <w:sz w:val="22"/>
          <w:szCs w:val="22"/>
          <w:u w:val="single"/>
        </w:rPr>
      </w:pPr>
      <w:r w:rsidRPr="00C00E2D">
        <w:rPr>
          <w:rStyle w:val="Normal1"/>
          <w:rFonts w:cs="Arial"/>
          <w:b/>
          <w:sz w:val="22"/>
          <w:szCs w:val="22"/>
          <w:u w:val="single"/>
        </w:rPr>
        <w:t>SUPERSTORE ASSISTANT’S KPI</w:t>
      </w:r>
    </w:p>
    <w:p w14:paraId="35908E42" w14:textId="77777777" w:rsidR="00C00E2D" w:rsidRPr="00C00E2D" w:rsidRDefault="00C00E2D" w:rsidP="00C00E2D">
      <w:pPr>
        <w:pStyle w:val="ListParagraph"/>
        <w:ind w:left="0" w:right="-180"/>
        <w:jc w:val="both"/>
        <w:rPr>
          <w:rStyle w:val="Normal1"/>
          <w:rFonts w:cs="Arial"/>
          <w:b/>
          <w:sz w:val="22"/>
          <w:szCs w:val="22"/>
        </w:rPr>
      </w:pPr>
    </w:p>
    <w:p w14:paraId="05AE3CF7" w14:textId="77777777"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Adept in the use of Microsoft Excel for Reports and Monitoring</w:t>
      </w:r>
    </w:p>
    <w:p w14:paraId="0865920C" w14:textId="58696217" w:rsidR="00C00E2D" w:rsidRPr="00C00E2D" w:rsidRDefault="00C00E2D" w:rsidP="00C00E2D">
      <w:pPr>
        <w:pStyle w:val="ListParagraph"/>
        <w:numPr>
          <w:ilvl w:val="0"/>
          <w:numId w:val="18"/>
        </w:numPr>
        <w:spacing w:line="240" w:lineRule="auto"/>
        <w:contextualSpacing w:val="0"/>
        <w:rPr>
          <w:sz w:val="22"/>
          <w:szCs w:val="28"/>
        </w:rPr>
      </w:pPr>
      <w:r>
        <w:rPr>
          <w:rFonts w:ascii="Arial Narrow" w:hAnsi="Arial Narrow"/>
          <w:b/>
          <w:noProof/>
          <w:u w:val="single"/>
          <w:lang w:val="en-US"/>
        </w:rPr>
        <w:drawing>
          <wp:anchor distT="0" distB="0" distL="114300" distR="114300" simplePos="0" relativeHeight="251659264" behindDoc="0" locked="0" layoutInCell="1" allowOverlap="1" wp14:anchorId="0027AB58" wp14:editId="756F4BEA">
            <wp:simplePos x="0" y="0"/>
            <wp:positionH relativeFrom="column">
              <wp:posOffset>-171450</wp:posOffset>
            </wp:positionH>
            <wp:positionV relativeFrom="paragraph">
              <wp:posOffset>69850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C00E2D">
        <w:rPr>
          <w:sz w:val="22"/>
          <w:szCs w:val="28"/>
        </w:rPr>
        <w:t>Above average in handling numbers for Reports and Monitoring</w:t>
      </w:r>
    </w:p>
    <w:p w14:paraId="3BA08052" w14:textId="5EEE848B"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 xml:space="preserve">Basic knowledge of Microsoft </w:t>
      </w:r>
      <w:proofErr w:type="spellStart"/>
      <w:r w:rsidRPr="00C00E2D">
        <w:rPr>
          <w:sz w:val="22"/>
          <w:szCs w:val="28"/>
        </w:rPr>
        <w:t>Powerpoint</w:t>
      </w:r>
      <w:proofErr w:type="spellEnd"/>
    </w:p>
    <w:p w14:paraId="176798D7" w14:textId="59BB2F90"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Good communication skills</w:t>
      </w:r>
    </w:p>
    <w:p w14:paraId="7C5F3BC8" w14:textId="399068B8"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High willingness to learn and not afraid to ask questions</w:t>
      </w:r>
    </w:p>
    <w:p w14:paraId="6C855307" w14:textId="71ED3738"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Pro-active</w:t>
      </w:r>
    </w:p>
    <w:p w14:paraId="51CF189F" w14:textId="66F92812"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Physically capable and willing to go on field work</w:t>
      </w:r>
    </w:p>
    <w:p w14:paraId="10F066F4" w14:textId="421C9A32"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Organized and gives attention to detail</w:t>
      </w:r>
    </w:p>
    <w:p w14:paraId="71AA5449" w14:textId="62390F1A" w:rsidR="00C00E2D" w:rsidRDefault="00C00E2D" w:rsidP="00C00E2D"/>
    <w:p w14:paraId="2E7076D2" w14:textId="1D8AE77A" w:rsidR="00C00E2D" w:rsidRDefault="00C00E2D" w:rsidP="00C00E2D"/>
    <w:p w14:paraId="4DE0D496" w14:textId="331C1BF5" w:rsidR="00B61EE1" w:rsidRPr="00B61EE1" w:rsidRDefault="00B61EE1" w:rsidP="00B61EE1">
      <w:pPr>
        <w:pStyle w:val="ColorfulList-Accent11"/>
        <w:jc w:val="both"/>
        <w:rPr>
          <w:rFonts w:ascii="Arial" w:hAnsi="Arial" w:cs="Arial"/>
          <w:sz w:val="22"/>
          <w:szCs w:val="22"/>
        </w:rPr>
      </w:pPr>
    </w:p>
    <w:p w14:paraId="4548593B" w14:textId="304CA5BA" w:rsidR="00B61EE1" w:rsidRPr="00B61EE1" w:rsidRDefault="00B61EE1" w:rsidP="00B61EE1">
      <w:pPr>
        <w:ind w:right="-90"/>
        <w:jc w:val="both"/>
        <w:rPr>
          <w:rFonts w:cs="Arial"/>
          <w:b/>
          <w:sz w:val="22"/>
          <w:szCs w:val="22"/>
        </w:rPr>
      </w:pPr>
      <w:bookmarkStart w:id="4" w:name="_GoBack"/>
      <w:bookmarkEnd w:id="4"/>
    </w:p>
    <w:p w14:paraId="231E1B59" w14:textId="049581F3" w:rsidR="00B61EE1" w:rsidRPr="00B61EE1" w:rsidRDefault="00B61EE1" w:rsidP="00C00E2D">
      <w:pPr>
        <w:pStyle w:val="NoSpacing"/>
        <w:rPr>
          <w:rStyle w:val="Normal1"/>
          <w:rFonts w:cs="Arial"/>
        </w:rPr>
      </w:pPr>
      <w:r w:rsidRPr="00B61EE1">
        <w:rPr>
          <w:rFonts w:ascii="Arial" w:hAnsi="Arial" w:cs="Arial"/>
        </w:rPr>
        <w:tab/>
      </w:r>
    </w:p>
    <w:p w14:paraId="4FF701EC" w14:textId="77777777" w:rsidR="00FF5135" w:rsidRDefault="00FF5135" w:rsidP="003B55E4">
      <w:pPr>
        <w:jc w:val="center"/>
        <w:rPr>
          <w:rFonts w:cs="Arial"/>
          <w:b/>
          <w:color w:val="000000" w:themeColor="text1"/>
          <w:sz w:val="22"/>
          <w:szCs w:val="22"/>
          <w:u w:val="single"/>
        </w:rPr>
      </w:pPr>
    </w:p>
    <w:sectPr w:rsidR="00FF513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C36B8" w14:textId="77777777" w:rsidR="00830E1C" w:rsidRDefault="00830E1C">
      <w:r>
        <w:separator/>
      </w:r>
    </w:p>
  </w:endnote>
  <w:endnote w:type="continuationSeparator" w:id="0">
    <w:p w14:paraId="71B7F4EF" w14:textId="77777777" w:rsidR="00830E1C" w:rsidRDefault="0083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2A6FB" w14:textId="77777777" w:rsidR="00830E1C" w:rsidRDefault="00830E1C">
      <w:r>
        <w:separator/>
      </w:r>
    </w:p>
  </w:footnote>
  <w:footnote w:type="continuationSeparator" w:id="0">
    <w:p w14:paraId="3882904C" w14:textId="77777777" w:rsidR="00830E1C" w:rsidRDefault="00830E1C">
      <w:r>
        <w:separator/>
      </w:r>
    </w:p>
    <w:p w14:paraId="03E683F0" w14:textId="77777777" w:rsidR="00830E1C" w:rsidRDefault="00830E1C"/>
  </w:footnote>
  <w:footnote w:type="continuationNotice" w:id="1">
    <w:p w14:paraId="2F25FB0E" w14:textId="77777777" w:rsidR="00830E1C" w:rsidRDefault="00830E1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B1E0560"/>
    <w:multiLevelType w:val="hybridMultilevel"/>
    <w:tmpl w:val="2708E7EA"/>
    <w:lvl w:ilvl="0" w:tplc="E08AA1F0">
      <w:start w:val="90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C7A96"/>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C03F0"/>
    <w:rsid w:val="003D4DE8"/>
    <w:rsid w:val="003E1425"/>
    <w:rsid w:val="003E59C2"/>
    <w:rsid w:val="003F055F"/>
    <w:rsid w:val="003F0AE1"/>
    <w:rsid w:val="003F31F8"/>
    <w:rsid w:val="00405E03"/>
    <w:rsid w:val="0041179C"/>
    <w:rsid w:val="004451E4"/>
    <w:rsid w:val="0045226F"/>
    <w:rsid w:val="00462A8D"/>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558B"/>
    <w:rsid w:val="00786BBC"/>
    <w:rsid w:val="00794C5F"/>
    <w:rsid w:val="007B56A7"/>
    <w:rsid w:val="007C5CE0"/>
    <w:rsid w:val="007D060D"/>
    <w:rsid w:val="00805EC3"/>
    <w:rsid w:val="00830E1C"/>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1EE1"/>
    <w:rsid w:val="00B674E2"/>
    <w:rsid w:val="00B74D33"/>
    <w:rsid w:val="00BD2365"/>
    <w:rsid w:val="00BE6506"/>
    <w:rsid w:val="00BF4FB8"/>
    <w:rsid w:val="00BF5487"/>
    <w:rsid w:val="00C00E2D"/>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1861"/>
    <w:rsid w:val="00ED55B5"/>
    <w:rsid w:val="00F0533A"/>
    <w:rsid w:val="00F100B1"/>
    <w:rsid w:val="00F1084F"/>
    <w:rsid w:val="00F110A6"/>
    <w:rsid w:val="00F172A4"/>
    <w:rsid w:val="00F23194"/>
    <w:rsid w:val="00F678F3"/>
    <w:rsid w:val="00F94627"/>
    <w:rsid w:val="00FA2CB5"/>
    <w:rsid w:val="00FF502C"/>
    <w:rsid w:val="00FF513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3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DAE3828-7137-48C0-8C15-482BFD0A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2019-08-02T08:09:00Z</dcterms:created>
  <dcterms:modified xsi:type="dcterms:W3CDTF">2019-08-02T08:09:00Z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