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45FE82A" w14:textId="77777777" w:rsidR="00DD1A57" w:rsidRPr="00DD1A57" w:rsidRDefault="00DD1A57" w:rsidP="00DD1A57">
      <w:pPr>
        <w:pStyle w:val="ListParagraph"/>
        <w:numPr>
          <w:ilvl w:val="0"/>
          <w:numId w:val="27"/>
        </w:numPr>
        <w:spacing w:line="240" w:lineRule="auto"/>
        <w:rPr>
          <w:rFonts w:cs="Arial"/>
          <w:sz w:val="22"/>
          <w:szCs w:val="22"/>
        </w:rPr>
      </w:pPr>
      <w:r w:rsidRPr="00DD1A57">
        <w:rPr>
          <w:rFonts w:cs="Arial"/>
          <w:sz w:val="22"/>
          <w:szCs w:val="22"/>
        </w:rPr>
        <w:t xml:space="preserve">Train and supervise merchandisers / </w:t>
      </w:r>
      <w:proofErr w:type="spellStart"/>
      <w:r w:rsidRPr="00DD1A57">
        <w:rPr>
          <w:rFonts w:cs="Arial"/>
          <w:sz w:val="22"/>
          <w:szCs w:val="22"/>
        </w:rPr>
        <w:t>promodisers</w:t>
      </w:r>
      <w:proofErr w:type="spellEnd"/>
      <w:r w:rsidRPr="00DD1A57">
        <w:rPr>
          <w:rFonts w:cs="Arial"/>
          <w:sz w:val="22"/>
          <w:szCs w:val="22"/>
        </w:rPr>
        <w:t xml:space="preserve"> on the proper display of all the products that are assigned to them</w:t>
      </w:r>
    </w:p>
    <w:p w14:paraId="2E5A6229"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t>Conducts proper orientation and training to all the merchandisers /</w:t>
      </w:r>
      <w:proofErr w:type="spellStart"/>
      <w:r w:rsidRPr="00DD1A57">
        <w:rPr>
          <w:rFonts w:cs="Arial"/>
          <w:sz w:val="22"/>
          <w:szCs w:val="22"/>
        </w:rPr>
        <w:t>promodisers</w:t>
      </w:r>
      <w:proofErr w:type="spellEnd"/>
      <w:r w:rsidRPr="00DD1A57">
        <w:rPr>
          <w:rFonts w:cs="Arial"/>
          <w:sz w:val="22"/>
          <w:szCs w:val="22"/>
        </w:rPr>
        <w:t xml:space="preserve"> before they are deployed in the outlet assignment.</w:t>
      </w:r>
    </w:p>
    <w:p w14:paraId="5C747CA2"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t xml:space="preserve">Ensures that the display guidelines (PLANOGRAM) are followed by the assigned merchandisers / </w:t>
      </w:r>
      <w:proofErr w:type="spellStart"/>
      <w:r w:rsidRPr="00DD1A57">
        <w:rPr>
          <w:rFonts w:cs="Arial"/>
          <w:sz w:val="22"/>
          <w:szCs w:val="22"/>
        </w:rPr>
        <w:t>promodisers</w:t>
      </w:r>
      <w:proofErr w:type="spellEnd"/>
    </w:p>
    <w:p w14:paraId="7BDE4676"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t>Ensures that all available products are out of the bodega and properly displayed in the selling area.</w:t>
      </w:r>
    </w:p>
    <w:p w14:paraId="1942277D"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t xml:space="preserve">Ensures that all assigned display merchandisers/ </w:t>
      </w:r>
      <w:proofErr w:type="spellStart"/>
      <w:r w:rsidRPr="00DD1A57">
        <w:rPr>
          <w:rFonts w:cs="Arial"/>
          <w:sz w:val="22"/>
          <w:szCs w:val="22"/>
        </w:rPr>
        <w:t>promodisers</w:t>
      </w:r>
      <w:proofErr w:type="spellEnd"/>
      <w:r w:rsidRPr="00DD1A57">
        <w:rPr>
          <w:rFonts w:cs="Arial"/>
          <w:sz w:val="22"/>
          <w:szCs w:val="22"/>
        </w:rPr>
        <w:t xml:space="preserve"> sure always reminded of the FIFO (First In-First Out) system of the display.</w:t>
      </w:r>
    </w:p>
    <w:p w14:paraId="19F19B63"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lastRenderedPageBreak/>
        <w:t>Ensures that all necessary POP materials are properly installed in all the outlets.</w:t>
      </w:r>
    </w:p>
    <w:p w14:paraId="64E2E88C"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t xml:space="preserve">Assist the merchandisers / </w:t>
      </w:r>
      <w:proofErr w:type="spellStart"/>
      <w:r w:rsidRPr="00DD1A57">
        <w:rPr>
          <w:rFonts w:cs="Arial"/>
          <w:sz w:val="22"/>
          <w:szCs w:val="22"/>
        </w:rPr>
        <w:t>promodisers</w:t>
      </w:r>
      <w:proofErr w:type="spellEnd"/>
      <w:r w:rsidRPr="00DD1A57">
        <w:rPr>
          <w:rFonts w:cs="Arial"/>
          <w:sz w:val="22"/>
          <w:szCs w:val="22"/>
        </w:rPr>
        <w:t xml:space="preserve"> in the negotiation of additional shelf display safeguard existing shelf facings.</w:t>
      </w:r>
    </w:p>
    <w:p w14:paraId="70003CEA"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t>Ensures of proper outlet endorsement and turnover of new and expiring merchandisers</w:t>
      </w:r>
    </w:p>
    <w:p w14:paraId="542DD917" w14:textId="77777777" w:rsidR="00DD1A57" w:rsidRPr="00DD1A57" w:rsidRDefault="00DD1A57" w:rsidP="00DD1A57">
      <w:pPr>
        <w:numPr>
          <w:ilvl w:val="0"/>
          <w:numId w:val="27"/>
        </w:numPr>
        <w:spacing w:line="240" w:lineRule="auto"/>
        <w:rPr>
          <w:rFonts w:cs="Arial"/>
          <w:sz w:val="22"/>
          <w:szCs w:val="22"/>
        </w:rPr>
      </w:pPr>
      <w:r w:rsidRPr="00DD1A57">
        <w:rPr>
          <w:rFonts w:cs="Arial"/>
          <w:sz w:val="22"/>
          <w:szCs w:val="22"/>
        </w:rPr>
        <w:t xml:space="preserve">Coordinates with the client’s representative in relation to: </w:t>
      </w:r>
    </w:p>
    <w:p w14:paraId="7DEE1966" w14:textId="77777777" w:rsidR="00DD1A57" w:rsidRPr="00DD1A57" w:rsidRDefault="00DD1A57" w:rsidP="00DD1A57">
      <w:pPr>
        <w:numPr>
          <w:ilvl w:val="1"/>
          <w:numId w:val="27"/>
        </w:numPr>
        <w:spacing w:line="240" w:lineRule="auto"/>
        <w:rPr>
          <w:rFonts w:cs="Arial"/>
          <w:sz w:val="22"/>
          <w:szCs w:val="22"/>
        </w:rPr>
      </w:pPr>
      <w:r w:rsidRPr="00DD1A57">
        <w:rPr>
          <w:rFonts w:cs="Arial"/>
          <w:sz w:val="22"/>
          <w:szCs w:val="22"/>
        </w:rPr>
        <w:t>Providing accurate and complete inventory.</w:t>
      </w:r>
    </w:p>
    <w:p w14:paraId="32515A49" w14:textId="77777777" w:rsidR="00DD1A57" w:rsidRPr="00DD1A57" w:rsidRDefault="00DD1A57" w:rsidP="00DD1A57">
      <w:pPr>
        <w:numPr>
          <w:ilvl w:val="1"/>
          <w:numId w:val="27"/>
        </w:numPr>
        <w:spacing w:line="240" w:lineRule="auto"/>
        <w:rPr>
          <w:rFonts w:cs="Arial"/>
          <w:sz w:val="22"/>
          <w:szCs w:val="22"/>
        </w:rPr>
      </w:pPr>
      <w:r w:rsidRPr="00DD1A57">
        <w:rPr>
          <w:rFonts w:cs="Arial"/>
          <w:sz w:val="22"/>
          <w:szCs w:val="22"/>
        </w:rPr>
        <w:t>Provides assistance in negotiation of additional shelf display, safeguard existing shelf facings.</w:t>
      </w:r>
    </w:p>
    <w:p w14:paraId="760182A6" w14:textId="77777777" w:rsidR="00DD1A57" w:rsidRPr="00DD1A57" w:rsidRDefault="00DD1A57" w:rsidP="00DD1A57">
      <w:pPr>
        <w:numPr>
          <w:ilvl w:val="1"/>
          <w:numId w:val="27"/>
        </w:numPr>
        <w:spacing w:line="240" w:lineRule="auto"/>
        <w:rPr>
          <w:rFonts w:cs="Arial"/>
          <w:sz w:val="22"/>
          <w:szCs w:val="22"/>
        </w:rPr>
      </w:pPr>
      <w:r w:rsidRPr="00DD1A57">
        <w:rPr>
          <w:rFonts w:cs="Arial"/>
          <w:sz w:val="22"/>
          <w:szCs w:val="22"/>
        </w:rPr>
        <w:t>Implementation of merchandising POP collaterals.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B668B78"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6BB493E"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715CAB" w:rsidRPr="00715CAB">
        <w:rPr>
          <w:rFonts w:eastAsia="MS Mincho" w:cs="Arial"/>
          <w:color w:val="000000" w:themeColor="text1"/>
          <w:spacing w:val="-3"/>
          <w:sz w:val="22"/>
          <w:szCs w:val="22"/>
          <w:lang w:val="en-US"/>
        </w:rPr>
        <w:t>Employee will commence to perform the services of a</w:t>
      </w:r>
      <w:r w:rsidR="00715CAB">
        <w:rPr>
          <w:rFonts w:cs="Arial"/>
          <w:color w:val="000000" w:themeColor="text1"/>
          <w:sz w:val="22"/>
          <w:szCs w:val="22"/>
        </w:rPr>
        <w:t xml:space="preserve"> </w:t>
      </w:r>
      <w:r w:rsidR="00715CAB" w:rsidRPr="00715CAB">
        <w:rPr>
          <w:rFonts w:cs="Arial"/>
          <w:b/>
          <w:bCs/>
          <w:sz w:val="22"/>
        </w:rPr>
        <w:t>${Value6}</w:t>
      </w:r>
      <w:r w:rsidR="00715CAB" w:rsidRPr="00715CAB">
        <w:rPr>
          <w:rFonts w:cs="Arial"/>
          <w:b/>
          <w:color w:val="000000" w:themeColor="text1"/>
          <w:sz w:val="22"/>
          <w:szCs w:val="22"/>
        </w:rPr>
        <w:t xml:space="preserve"> </w:t>
      </w:r>
      <w:r w:rsidR="00715CAB" w:rsidRPr="00715CAB">
        <w:rPr>
          <w:rFonts w:eastAsia="MS Mincho" w:cs="Arial"/>
          <w:color w:val="000000" w:themeColor="text1"/>
          <w:spacing w:val="-3"/>
          <w:sz w:val="22"/>
          <w:szCs w:val="22"/>
          <w:lang w:val="en-US"/>
        </w:rPr>
        <w:t xml:space="preserve">effective </w:t>
      </w:r>
      <w:r w:rsidR="00715CAB" w:rsidRPr="00715CAB">
        <w:rPr>
          <w:rFonts w:cs="Arial"/>
          <w:b/>
          <w:bCs/>
          <w:sz w:val="22"/>
        </w:rPr>
        <w:t>${Value8}</w:t>
      </w:r>
      <w:r w:rsidR="00715CAB" w:rsidRPr="00715CAB">
        <w:rPr>
          <w:rFonts w:eastAsia="MS Mincho" w:cs="Arial"/>
          <w:b/>
          <w:color w:val="000000" w:themeColor="text1"/>
          <w:spacing w:val="-3"/>
          <w:sz w:val="22"/>
          <w:szCs w:val="22"/>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3754CD08"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65920" behindDoc="0" locked="0" layoutInCell="1" allowOverlap="1" wp14:anchorId="2F013442" wp14:editId="1DB0DD14">
            <wp:simplePos x="0" y="0"/>
            <wp:positionH relativeFrom="column">
              <wp:posOffset>-314325</wp:posOffset>
            </wp:positionH>
            <wp:positionV relativeFrom="paragraph">
              <wp:posOffset>481330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w:t>
      </w:r>
      <w:r w:rsidR="00715CAB">
        <w:rPr>
          <w:rFonts w:eastAsia="MS Mincho" w:cs="Arial"/>
          <w:b/>
          <w:color w:val="000000" w:themeColor="text1"/>
          <w:spacing w:val="-3"/>
          <w:sz w:val="22"/>
          <w:szCs w:val="22"/>
          <w:lang w:val="en-US"/>
        </w:rPr>
        <w:t>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00715CAB">
        <w:rPr>
          <w:rFonts w:eastAsia="MS Mincho" w:cs="Arial"/>
          <w:b/>
          <w:color w:val="000000" w:themeColor="text1"/>
          <w:spacing w:val="-3"/>
          <w:sz w:val="22"/>
          <w:szCs w:val="22"/>
          <w:lang w:val="en-US"/>
        </w:rPr>
        <w:t>30</w:t>
      </w:r>
      <w:bookmarkStart w:id="1" w:name="_GoBack"/>
      <w:bookmarkEnd w:id="1"/>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AAFE95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3791B6C1"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150D7BC4"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DD1A57">
        <w:rPr>
          <w:rFonts w:eastAsia="MS Mincho" w:cs="Arial"/>
          <w:spacing w:val="-3"/>
          <w:sz w:val="22"/>
          <w:szCs w:val="22"/>
          <w:lang w:val="en-US"/>
        </w:rPr>
        <w:t>Meal</w:t>
      </w:r>
      <w:r w:rsidR="00AF7BB8">
        <w:rPr>
          <w:rFonts w:eastAsia="MS Mincho" w:cs="Arial"/>
          <w:spacing w:val="-3"/>
          <w:sz w:val="22"/>
          <w:szCs w:val="22"/>
          <w:lang w:val="en-US"/>
        </w:rPr>
        <w:t xml:space="preserve"> allowance/</w:t>
      </w:r>
      <w:r w:rsidR="00DD1A57">
        <w:rPr>
          <w:rFonts w:eastAsia="MS Mincho" w:cs="Arial"/>
          <w:spacing w:val="-3"/>
          <w:sz w:val="22"/>
          <w:szCs w:val="22"/>
          <w:lang w:val="en-US"/>
        </w:rPr>
        <w:t>day</w:t>
      </w:r>
      <w:r w:rsidR="00DD1A57">
        <w:rPr>
          <w:rFonts w:eastAsia="MS Mincho" w:cs="Arial"/>
          <w:spacing w:val="-3"/>
          <w:sz w:val="22"/>
          <w:szCs w:val="22"/>
          <w:lang w:val="en-US"/>
        </w:rPr>
        <w:tab/>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DD1A57">
        <w:rPr>
          <w:rFonts w:cs="Arial"/>
          <w:bCs/>
          <w:sz w:val="22"/>
          <w:szCs w:val="22"/>
        </w:rPr>
        <w:t>e</w:t>
      </w:r>
      <w:r w:rsidR="00A03B16" w:rsidRPr="006E3972">
        <w:rPr>
          <w:rFonts w:cs="Arial"/>
          <w:bCs/>
          <w:sz w:val="22"/>
          <w:szCs w:val="22"/>
        </w:rPr>
        <w:t>}</w:t>
      </w:r>
    </w:p>
    <w:p w14:paraId="6F2576E1" w14:textId="0FDE2EB7"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DD1A57">
        <w:rPr>
          <w:rFonts w:eastAsia="MS Mincho" w:cs="Arial"/>
          <w:spacing w:val="-3"/>
          <w:sz w:val="22"/>
          <w:szCs w:val="22"/>
          <w:lang w:val="en-US"/>
        </w:rPr>
        <w:t>Transportation allowance/</w:t>
      </w:r>
      <w:r w:rsidR="00DD1A57">
        <w:rPr>
          <w:rFonts w:eastAsia="MS Mincho" w:cs="Arial"/>
          <w:spacing w:val="-3"/>
          <w:sz w:val="22"/>
          <w:szCs w:val="22"/>
          <w:lang w:val="en-US"/>
        </w:rPr>
        <w:t>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859194"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2D8114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C6D81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5E91277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A30367" w14:textId="65C648BA"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E0FE43" w14:textId="0C87047E"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C41970" w14:textId="2810A8FC"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A636D9" w14:textId="77777777" w:rsidR="00DD1A57" w:rsidRPr="00DF1F55" w:rsidRDefault="00DD1A57" w:rsidP="00DD1A57">
      <w:pPr>
        <w:jc w:val="both"/>
        <w:rPr>
          <w:rFonts w:cs="Arial"/>
          <w:color w:val="000000" w:themeColor="text1"/>
          <w:szCs w:val="20"/>
          <w:lang w:val="en-PH"/>
        </w:rPr>
      </w:pPr>
    </w:p>
    <w:p w14:paraId="2292EBBD" w14:textId="77777777" w:rsidR="00DD1A57" w:rsidRPr="00C84C3F" w:rsidRDefault="00DD1A57" w:rsidP="00DD1A57">
      <w:pPr>
        <w:jc w:val="both"/>
        <w:rPr>
          <w:rFonts w:cs="Arial"/>
          <w:color w:val="000000" w:themeColor="text1"/>
          <w:szCs w:val="20"/>
          <w:lang w:val="en-PH"/>
        </w:rPr>
      </w:pPr>
    </w:p>
    <w:p w14:paraId="796A8161" w14:textId="77777777" w:rsidR="00DD1A57" w:rsidRPr="00DD1A57" w:rsidRDefault="00DD1A57" w:rsidP="00DD1A57">
      <w:pPr>
        <w:jc w:val="center"/>
        <w:rPr>
          <w:rFonts w:asciiTheme="majorHAnsi" w:hAnsiTheme="majorHAnsi" w:cstheme="majorHAnsi"/>
          <w:b/>
          <w:color w:val="000000" w:themeColor="text1"/>
          <w:sz w:val="22"/>
          <w:szCs w:val="22"/>
          <w:u w:val="single"/>
        </w:rPr>
      </w:pPr>
      <w:r w:rsidRPr="00DD1A57">
        <w:rPr>
          <w:rFonts w:asciiTheme="majorHAnsi" w:hAnsiTheme="majorHAnsi" w:cstheme="majorHAnsi"/>
          <w:b/>
          <w:color w:val="000000" w:themeColor="text1"/>
          <w:sz w:val="22"/>
          <w:szCs w:val="22"/>
          <w:u w:val="single"/>
        </w:rPr>
        <w:t>FIELD MERCHANDISING SUPERVISOR’S BEHAVIORAL CLAUSE</w:t>
      </w:r>
    </w:p>
    <w:p w14:paraId="05F270A2" w14:textId="77777777" w:rsidR="00DD1A57" w:rsidRPr="00DD1A57" w:rsidRDefault="00DD1A57" w:rsidP="00DD1A57">
      <w:pPr>
        <w:jc w:val="center"/>
        <w:rPr>
          <w:rFonts w:asciiTheme="majorHAnsi" w:hAnsiTheme="majorHAnsi" w:cstheme="majorHAnsi"/>
          <w:b/>
          <w:color w:val="000000" w:themeColor="text1"/>
          <w:sz w:val="22"/>
          <w:szCs w:val="22"/>
          <w:u w:val="single"/>
        </w:rPr>
      </w:pPr>
    </w:p>
    <w:p w14:paraId="40D7BD36" w14:textId="77777777" w:rsidR="00DD1A57" w:rsidRPr="00DD1A57" w:rsidRDefault="00DD1A57" w:rsidP="00DD1A57">
      <w:pPr>
        <w:pStyle w:val="ColorfulList-Accent11"/>
        <w:numPr>
          <w:ilvl w:val="0"/>
          <w:numId w:val="41"/>
        </w:numPr>
        <w:jc w:val="both"/>
        <w:rPr>
          <w:rFonts w:asciiTheme="majorHAnsi" w:hAnsiTheme="majorHAnsi" w:cstheme="majorHAnsi"/>
          <w:sz w:val="22"/>
          <w:szCs w:val="22"/>
        </w:rPr>
      </w:pPr>
      <w:r w:rsidRPr="00DD1A57">
        <w:rPr>
          <w:rFonts w:asciiTheme="majorHAnsi" w:hAnsiTheme="majorHAnsi" w:cstheme="majorHAnsi"/>
          <w:sz w:val="22"/>
          <w:szCs w:val="22"/>
        </w:rPr>
        <w:t>To follow and obey all legitimate instructions and directions of his his/her immediate superior</w:t>
      </w:r>
    </w:p>
    <w:p w14:paraId="2F828999" w14:textId="77777777" w:rsidR="00DD1A57" w:rsidRPr="00DD1A57" w:rsidRDefault="00DD1A57" w:rsidP="00DD1A57">
      <w:pPr>
        <w:pStyle w:val="ColorfulList-Accent11"/>
        <w:numPr>
          <w:ilvl w:val="0"/>
          <w:numId w:val="41"/>
        </w:numPr>
        <w:jc w:val="both"/>
        <w:rPr>
          <w:rFonts w:asciiTheme="majorHAnsi" w:hAnsiTheme="majorHAnsi" w:cstheme="majorHAnsi"/>
          <w:sz w:val="22"/>
          <w:szCs w:val="22"/>
        </w:rPr>
      </w:pPr>
      <w:r w:rsidRPr="00DD1A57">
        <w:rPr>
          <w:rFonts w:asciiTheme="majorHAnsi" w:hAnsiTheme="majorHAnsi" w:cstheme="majorHAnsi"/>
          <w:sz w:val="22"/>
          <w:szCs w:val="22"/>
        </w:rPr>
        <w:t>To accomplish and submit all mandatory reports on time</w:t>
      </w:r>
    </w:p>
    <w:p w14:paraId="3DE58946" w14:textId="77777777" w:rsidR="00DD1A57" w:rsidRPr="00DD1A57" w:rsidRDefault="00DD1A57" w:rsidP="00DD1A57">
      <w:pPr>
        <w:pStyle w:val="ColorfulList-Accent11"/>
        <w:numPr>
          <w:ilvl w:val="0"/>
          <w:numId w:val="41"/>
        </w:numPr>
        <w:jc w:val="both"/>
        <w:rPr>
          <w:rFonts w:asciiTheme="majorHAnsi" w:hAnsiTheme="majorHAnsi" w:cstheme="majorHAnsi"/>
          <w:sz w:val="22"/>
          <w:szCs w:val="22"/>
        </w:rPr>
      </w:pPr>
      <w:r w:rsidRPr="00DD1A57">
        <w:rPr>
          <w:rFonts w:asciiTheme="majorHAnsi" w:hAnsiTheme="majorHAnsi" w:cstheme="majorHAnsi"/>
          <w:sz w:val="22"/>
          <w:szCs w:val="22"/>
        </w:rPr>
        <w:t>To treat all staff, clients, partners/dealers/stores with respect all the time</w:t>
      </w:r>
    </w:p>
    <w:p w14:paraId="29D02257" w14:textId="77777777" w:rsidR="00DD1A57" w:rsidRPr="00DD1A57" w:rsidRDefault="00DD1A57" w:rsidP="00DD1A57">
      <w:pPr>
        <w:pStyle w:val="ColorfulList-Accent11"/>
        <w:numPr>
          <w:ilvl w:val="0"/>
          <w:numId w:val="41"/>
        </w:numPr>
        <w:jc w:val="both"/>
        <w:rPr>
          <w:rFonts w:asciiTheme="majorHAnsi" w:hAnsiTheme="majorHAnsi" w:cstheme="majorHAnsi"/>
          <w:sz w:val="22"/>
          <w:szCs w:val="22"/>
        </w:rPr>
      </w:pPr>
      <w:r w:rsidRPr="00DD1A57">
        <w:rPr>
          <w:rFonts w:asciiTheme="majorHAnsi" w:hAnsiTheme="majorHAnsi" w:cstheme="majorHAnsi"/>
          <w:sz w:val="22"/>
          <w:szCs w:val="22"/>
        </w:rPr>
        <w:t>To follow all rules and policies partners/dealer/stores</w:t>
      </w:r>
    </w:p>
    <w:p w14:paraId="30C22A44" w14:textId="77777777" w:rsidR="00DD1A57" w:rsidRPr="00DD1A57" w:rsidRDefault="00DD1A57" w:rsidP="00DD1A57">
      <w:pPr>
        <w:pStyle w:val="ColorfulList-Accent11"/>
        <w:numPr>
          <w:ilvl w:val="0"/>
          <w:numId w:val="41"/>
        </w:numPr>
        <w:jc w:val="both"/>
        <w:rPr>
          <w:rFonts w:asciiTheme="majorHAnsi" w:hAnsiTheme="majorHAnsi" w:cstheme="majorHAnsi"/>
          <w:sz w:val="22"/>
          <w:szCs w:val="22"/>
        </w:rPr>
      </w:pPr>
      <w:r w:rsidRPr="00DD1A57">
        <w:rPr>
          <w:rFonts w:asciiTheme="majorHAnsi" w:hAnsiTheme="majorHAnsi" w:cstheme="majorHAnsi"/>
          <w:sz w:val="22"/>
          <w:szCs w:val="22"/>
        </w:rPr>
        <w:t>To attend all mandatory meetings dictated by Agency</w:t>
      </w:r>
    </w:p>
    <w:p w14:paraId="23DC3132" w14:textId="77777777" w:rsidR="00DD1A57" w:rsidRPr="00DD1A57" w:rsidRDefault="00DD1A57" w:rsidP="00DD1A57">
      <w:pPr>
        <w:pStyle w:val="ColorfulList-Accent11"/>
        <w:numPr>
          <w:ilvl w:val="0"/>
          <w:numId w:val="41"/>
        </w:numPr>
        <w:jc w:val="both"/>
        <w:rPr>
          <w:rFonts w:asciiTheme="majorHAnsi" w:hAnsiTheme="majorHAnsi" w:cstheme="majorHAnsi"/>
          <w:sz w:val="22"/>
          <w:szCs w:val="22"/>
        </w:rPr>
      </w:pPr>
      <w:r w:rsidRPr="00DD1A57">
        <w:rPr>
          <w:rFonts w:asciiTheme="majorHAnsi" w:hAnsiTheme="majorHAnsi" w:cstheme="majorHAnsi"/>
          <w:sz w:val="22"/>
          <w:szCs w:val="22"/>
        </w:rPr>
        <w:t>To always be on time for work</w:t>
      </w:r>
    </w:p>
    <w:p w14:paraId="5158115F" w14:textId="77777777" w:rsidR="00DD1A57" w:rsidRPr="00DD1A57" w:rsidRDefault="00DD1A57" w:rsidP="00DD1A57">
      <w:pPr>
        <w:pStyle w:val="ColorfulList-Accent11"/>
        <w:numPr>
          <w:ilvl w:val="0"/>
          <w:numId w:val="41"/>
        </w:numPr>
        <w:jc w:val="both"/>
        <w:rPr>
          <w:rFonts w:asciiTheme="majorHAnsi" w:hAnsiTheme="majorHAnsi" w:cstheme="majorHAnsi"/>
          <w:sz w:val="22"/>
          <w:szCs w:val="22"/>
        </w:rPr>
      </w:pPr>
      <w:r w:rsidRPr="00DD1A57">
        <w:rPr>
          <w:rFonts w:asciiTheme="majorHAnsi" w:hAnsiTheme="majorHAnsi" w:cstheme="majorHAnsi"/>
          <w:sz w:val="22"/>
          <w:szCs w:val="22"/>
        </w:rPr>
        <w:t>To liquidate expenses on time</w:t>
      </w:r>
    </w:p>
    <w:p w14:paraId="3A9F4AEB" w14:textId="77777777" w:rsidR="00DD1A57" w:rsidRPr="00DD1A57" w:rsidRDefault="00DD1A57" w:rsidP="00DD1A57">
      <w:pPr>
        <w:pStyle w:val="ColorfulList-Accent11"/>
        <w:numPr>
          <w:ilvl w:val="0"/>
          <w:numId w:val="41"/>
        </w:numPr>
        <w:jc w:val="both"/>
        <w:rPr>
          <w:rFonts w:asciiTheme="majorHAnsi" w:hAnsiTheme="majorHAnsi" w:cstheme="majorHAnsi"/>
          <w:sz w:val="22"/>
          <w:szCs w:val="22"/>
        </w:rPr>
      </w:pPr>
      <w:r w:rsidRPr="00DD1A57">
        <w:rPr>
          <w:rFonts w:asciiTheme="majorHAnsi" w:hAnsiTheme="majorHAnsi" w:cstheme="majorHAnsi"/>
          <w:sz w:val="22"/>
          <w:szCs w:val="22"/>
        </w:rPr>
        <w:t>To always observe proper grooming at all times</w:t>
      </w:r>
    </w:p>
    <w:p w14:paraId="0C09F84F" w14:textId="77777777" w:rsidR="00DD1A57" w:rsidRPr="00DD1A57" w:rsidRDefault="00DD1A57" w:rsidP="00DD1A57">
      <w:pPr>
        <w:pStyle w:val="ColorfulList-Accent11"/>
        <w:numPr>
          <w:ilvl w:val="0"/>
          <w:numId w:val="41"/>
        </w:numPr>
        <w:jc w:val="both"/>
        <w:rPr>
          <w:rFonts w:asciiTheme="majorHAnsi" w:hAnsiTheme="majorHAnsi" w:cstheme="majorHAnsi"/>
          <w:sz w:val="22"/>
          <w:szCs w:val="22"/>
        </w:rPr>
      </w:pPr>
      <w:r w:rsidRPr="00DD1A57">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7587A77E" w14:textId="77777777" w:rsidR="00DD1A57" w:rsidRPr="00DD1A57" w:rsidRDefault="00DD1A57" w:rsidP="00DD1A57">
      <w:pPr>
        <w:pStyle w:val="ColorfulList-Accent11"/>
        <w:jc w:val="both"/>
        <w:rPr>
          <w:rFonts w:asciiTheme="majorHAnsi" w:hAnsiTheme="majorHAnsi" w:cstheme="majorHAnsi"/>
          <w:sz w:val="22"/>
          <w:szCs w:val="22"/>
        </w:rPr>
      </w:pPr>
    </w:p>
    <w:p w14:paraId="703180D6" w14:textId="32249E74" w:rsidR="00DD1A57" w:rsidRPr="00DD1A57" w:rsidRDefault="00EB6CA4" w:rsidP="00DD1A57">
      <w:pPr>
        <w:pStyle w:val="ColorfulList-Accent11"/>
        <w:jc w:val="both"/>
        <w:rPr>
          <w:rFonts w:asciiTheme="majorHAnsi" w:hAnsiTheme="majorHAnsi" w:cstheme="majorHAnsi"/>
          <w:sz w:val="22"/>
          <w:szCs w:val="22"/>
        </w:rPr>
      </w:pPr>
      <w:r>
        <w:rPr>
          <w:rFonts w:ascii="Arial Narrow" w:hAnsi="Arial Narrow"/>
          <w:b/>
          <w:noProof/>
          <w:u w:val="single"/>
        </w:rPr>
        <w:drawing>
          <wp:anchor distT="0" distB="0" distL="114300" distR="114300" simplePos="0" relativeHeight="251670016" behindDoc="0" locked="0" layoutInCell="1" allowOverlap="1" wp14:anchorId="4876E670" wp14:editId="69806198">
            <wp:simplePos x="0" y="0"/>
            <wp:positionH relativeFrom="column">
              <wp:posOffset>-352425</wp:posOffset>
            </wp:positionH>
            <wp:positionV relativeFrom="paragraph">
              <wp:posOffset>204470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6287985" w14:textId="413D2646" w:rsidR="00DD1A57" w:rsidRPr="00DD1A57" w:rsidRDefault="00DD1A57" w:rsidP="00DD1A57">
      <w:pPr>
        <w:ind w:right="-90"/>
        <w:jc w:val="both"/>
        <w:rPr>
          <w:rFonts w:asciiTheme="majorHAnsi" w:hAnsiTheme="majorHAnsi" w:cstheme="majorHAnsi"/>
          <w:b/>
          <w:sz w:val="22"/>
          <w:szCs w:val="22"/>
        </w:rPr>
      </w:pPr>
    </w:p>
    <w:p w14:paraId="49CAACD2" w14:textId="2CA53AF4" w:rsidR="00DD1A57" w:rsidRPr="00DD1A57" w:rsidRDefault="00DD1A57" w:rsidP="00DD1A57">
      <w:pPr>
        <w:pStyle w:val="NoSpacing"/>
        <w:rPr>
          <w:rFonts w:asciiTheme="majorHAnsi" w:hAnsiTheme="majorHAnsi" w:cstheme="majorHAnsi"/>
        </w:rPr>
      </w:pPr>
      <w:r w:rsidRPr="00DD1A57">
        <w:rPr>
          <w:rFonts w:asciiTheme="majorHAnsi" w:hAnsiTheme="majorHAnsi" w:cstheme="majorHAnsi"/>
        </w:rPr>
        <w:tab/>
      </w:r>
    </w:p>
    <w:p w14:paraId="7F54D565" w14:textId="47086B47" w:rsidR="00DD1A57" w:rsidRPr="00DD1A57" w:rsidRDefault="00DD1A57" w:rsidP="00DD1A57">
      <w:pPr>
        <w:pStyle w:val="ListParagraph"/>
        <w:ind w:left="0" w:right="-180"/>
        <w:jc w:val="center"/>
        <w:rPr>
          <w:rStyle w:val="Normal1"/>
          <w:rFonts w:asciiTheme="majorHAnsi" w:hAnsiTheme="majorHAnsi" w:cstheme="majorHAnsi"/>
          <w:b/>
          <w:sz w:val="22"/>
          <w:szCs w:val="22"/>
          <w:u w:val="single"/>
        </w:rPr>
      </w:pPr>
      <w:r w:rsidRPr="00DD1A57">
        <w:rPr>
          <w:rFonts w:asciiTheme="majorHAnsi" w:hAnsiTheme="majorHAnsi" w:cstheme="majorHAnsi"/>
          <w:b/>
          <w:color w:val="000000" w:themeColor="text1"/>
          <w:sz w:val="22"/>
          <w:szCs w:val="22"/>
          <w:u w:val="single"/>
        </w:rPr>
        <w:t xml:space="preserve">FIELD MERCHANDISING SUPERVISOR’S </w:t>
      </w:r>
      <w:r w:rsidRPr="00DD1A57">
        <w:rPr>
          <w:rStyle w:val="Normal1"/>
          <w:rFonts w:asciiTheme="majorHAnsi" w:hAnsiTheme="majorHAnsi" w:cstheme="majorHAnsi"/>
          <w:b/>
          <w:sz w:val="22"/>
          <w:szCs w:val="22"/>
          <w:u w:val="single"/>
        </w:rPr>
        <w:t>KPI</w:t>
      </w:r>
    </w:p>
    <w:p w14:paraId="748B6D1D" w14:textId="18593A77" w:rsidR="00DD1A57" w:rsidRPr="00DD1A57" w:rsidRDefault="00DD1A57" w:rsidP="00DD1A57">
      <w:pPr>
        <w:pStyle w:val="ListParagraph"/>
        <w:ind w:left="0" w:right="-180"/>
        <w:jc w:val="both"/>
        <w:rPr>
          <w:rFonts w:asciiTheme="majorHAnsi" w:hAnsiTheme="majorHAnsi" w:cstheme="majorHAnsi"/>
          <w:sz w:val="22"/>
          <w:szCs w:val="22"/>
        </w:rPr>
      </w:pPr>
    </w:p>
    <w:tbl>
      <w:tblPr>
        <w:tblW w:w="9479" w:type="dxa"/>
        <w:tblInd w:w="97" w:type="dxa"/>
        <w:tblLook w:val="04A0" w:firstRow="1" w:lastRow="0" w:firstColumn="1" w:lastColumn="0" w:noHBand="0" w:noVBand="1"/>
      </w:tblPr>
      <w:tblGrid>
        <w:gridCol w:w="4475"/>
        <w:gridCol w:w="222"/>
        <w:gridCol w:w="222"/>
        <w:gridCol w:w="222"/>
        <w:gridCol w:w="222"/>
        <w:gridCol w:w="1029"/>
        <w:gridCol w:w="1029"/>
        <w:gridCol w:w="1029"/>
        <w:gridCol w:w="1029"/>
      </w:tblGrid>
      <w:tr w:rsidR="00DD1A57" w:rsidRPr="00DD1A57" w14:paraId="4A45C32B" w14:textId="77777777" w:rsidTr="007C5938">
        <w:trPr>
          <w:trHeight w:val="300"/>
        </w:trPr>
        <w:tc>
          <w:tcPr>
            <w:tcW w:w="4475" w:type="dxa"/>
            <w:tcBorders>
              <w:top w:val="nil"/>
              <w:left w:val="nil"/>
              <w:bottom w:val="nil"/>
              <w:right w:val="nil"/>
            </w:tcBorders>
            <w:shd w:val="clear" w:color="auto" w:fill="auto"/>
            <w:noWrap/>
            <w:vAlign w:val="bottom"/>
            <w:hideMark/>
          </w:tcPr>
          <w:p w14:paraId="23E5E141"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44FF4DDC"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15AC332"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1FF1992"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284F007"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0F8E4EF"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77354A1"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E8279FB"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E8E75B0"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1DC071E0" w14:textId="77777777" w:rsidTr="007C5938">
        <w:trPr>
          <w:trHeight w:val="300"/>
        </w:trPr>
        <w:tc>
          <w:tcPr>
            <w:tcW w:w="9479" w:type="dxa"/>
            <w:gridSpan w:val="9"/>
            <w:tcBorders>
              <w:top w:val="nil"/>
              <w:left w:val="nil"/>
              <w:bottom w:val="nil"/>
              <w:right w:val="nil"/>
            </w:tcBorders>
            <w:shd w:val="clear" w:color="auto" w:fill="auto"/>
            <w:noWrap/>
            <w:vAlign w:val="bottom"/>
            <w:hideMark/>
          </w:tcPr>
          <w:p w14:paraId="715D277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1. 100% PS ACHIEVEMENT (OSA,NPI,PRICE TAG, SHELF STANDARD, PROPOSITION, PROMOTION) = 25%</w:t>
            </w:r>
          </w:p>
        </w:tc>
      </w:tr>
      <w:tr w:rsidR="00DD1A57" w:rsidRPr="00DD1A57" w14:paraId="72B6EFD6" w14:textId="77777777" w:rsidTr="007C5938">
        <w:trPr>
          <w:trHeight w:val="300"/>
        </w:trPr>
        <w:tc>
          <w:tcPr>
            <w:tcW w:w="5363" w:type="dxa"/>
            <w:gridSpan w:val="5"/>
            <w:tcBorders>
              <w:top w:val="nil"/>
              <w:left w:val="nil"/>
              <w:bottom w:val="nil"/>
              <w:right w:val="nil"/>
            </w:tcBorders>
            <w:shd w:val="clear" w:color="auto" w:fill="auto"/>
            <w:noWrap/>
            <w:vAlign w:val="bottom"/>
            <w:hideMark/>
          </w:tcPr>
          <w:p w14:paraId="7ADD704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2. 100% MERCHANDISERS ATTENDANCE. = 10%</w:t>
            </w:r>
          </w:p>
        </w:tc>
        <w:tc>
          <w:tcPr>
            <w:tcW w:w="1029" w:type="dxa"/>
            <w:tcBorders>
              <w:top w:val="nil"/>
              <w:left w:val="nil"/>
              <w:bottom w:val="nil"/>
              <w:right w:val="nil"/>
            </w:tcBorders>
            <w:shd w:val="clear" w:color="auto" w:fill="auto"/>
            <w:noWrap/>
            <w:vAlign w:val="bottom"/>
            <w:hideMark/>
          </w:tcPr>
          <w:p w14:paraId="1C28F55D"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A59B2A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E27572F"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648677D"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1131F28E" w14:textId="77777777" w:rsidTr="007C5938">
        <w:trPr>
          <w:trHeight w:val="300"/>
        </w:trPr>
        <w:tc>
          <w:tcPr>
            <w:tcW w:w="5141" w:type="dxa"/>
            <w:gridSpan w:val="4"/>
            <w:tcBorders>
              <w:top w:val="nil"/>
              <w:left w:val="nil"/>
              <w:bottom w:val="nil"/>
              <w:right w:val="nil"/>
            </w:tcBorders>
            <w:shd w:val="clear" w:color="auto" w:fill="auto"/>
            <w:noWrap/>
            <w:vAlign w:val="bottom"/>
            <w:hideMark/>
          </w:tcPr>
          <w:p w14:paraId="6F1BE53E"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3. 100% FMS ATTENDANCE. = 10%</w:t>
            </w:r>
          </w:p>
        </w:tc>
        <w:tc>
          <w:tcPr>
            <w:tcW w:w="222" w:type="dxa"/>
            <w:tcBorders>
              <w:top w:val="nil"/>
              <w:left w:val="nil"/>
              <w:bottom w:val="nil"/>
              <w:right w:val="nil"/>
            </w:tcBorders>
            <w:shd w:val="clear" w:color="auto" w:fill="auto"/>
            <w:noWrap/>
            <w:vAlign w:val="bottom"/>
            <w:hideMark/>
          </w:tcPr>
          <w:p w14:paraId="1C36692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E6C8063"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3864EE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28DADFC"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05893FB"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2991CEFB" w14:textId="77777777" w:rsidTr="007C5938">
        <w:trPr>
          <w:trHeight w:val="300"/>
        </w:trPr>
        <w:tc>
          <w:tcPr>
            <w:tcW w:w="7421" w:type="dxa"/>
            <w:gridSpan w:val="7"/>
            <w:tcBorders>
              <w:top w:val="nil"/>
              <w:left w:val="nil"/>
              <w:bottom w:val="nil"/>
              <w:right w:val="nil"/>
            </w:tcBorders>
            <w:shd w:val="clear" w:color="auto" w:fill="auto"/>
            <w:noWrap/>
            <w:vAlign w:val="bottom"/>
            <w:hideMark/>
          </w:tcPr>
          <w:p w14:paraId="4432FA7E"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4. OTIF EXECUTION ACTIVATION (ISB, IWB, CUSTOMIZE ACTIVITY). = 10%</w:t>
            </w:r>
          </w:p>
        </w:tc>
        <w:tc>
          <w:tcPr>
            <w:tcW w:w="1029" w:type="dxa"/>
            <w:tcBorders>
              <w:top w:val="nil"/>
              <w:left w:val="nil"/>
              <w:bottom w:val="nil"/>
              <w:right w:val="nil"/>
            </w:tcBorders>
            <w:shd w:val="clear" w:color="auto" w:fill="auto"/>
            <w:noWrap/>
            <w:vAlign w:val="bottom"/>
            <w:hideMark/>
          </w:tcPr>
          <w:p w14:paraId="72C0837F"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E81832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7216EDF2" w14:textId="77777777" w:rsidTr="007C5938">
        <w:trPr>
          <w:trHeight w:val="300"/>
        </w:trPr>
        <w:tc>
          <w:tcPr>
            <w:tcW w:w="9479" w:type="dxa"/>
            <w:gridSpan w:val="9"/>
            <w:tcBorders>
              <w:top w:val="nil"/>
              <w:left w:val="nil"/>
              <w:bottom w:val="nil"/>
              <w:right w:val="nil"/>
            </w:tcBorders>
            <w:shd w:val="clear" w:color="auto" w:fill="auto"/>
            <w:noWrap/>
            <w:vAlign w:val="bottom"/>
            <w:hideMark/>
          </w:tcPr>
          <w:p w14:paraId="59BE3C2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5. OTIF EXECUTION MERCHANDISING (SUSTAINING MERCH PLACEMENT, FIFO, GHQ, POG, .65% TR, REPORT SUBMISSION) = 10%</w:t>
            </w:r>
          </w:p>
        </w:tc>
      </w:tr>
      <w:tr w:rsidR="00DD1A57" w:rsidRPr="00DD1A57" w14:paraId="1B24F4F9" w14:textId="77777777" w:rsidTr="007C5938">
        <w:trPr>
          <w:trHeight w:val="300"/>
        </w:trPr>
        <w:tc>
          <w:tcPr>
            <w:tcW w:w="6392" w:type="dxa"/>
            <w:gridSpan w:val="6"/>
            <w:tcBorders>
              <w:top w:val="nil"/>
              <w:left w:val="nil"/>
              <w:bottom w:val="nil"/>
              <w:right w:val="nil"/>
            </w:tcBorders>
            <w:shd w:val="clear" w:color="auto" w:fill="auto"/>
            <w:noWrap/>
            <w:vAlign w:val="bottom"/>
            <w:hideMark/>
          </w:tcPr>
          <w:p w14:paraId="74B3632F"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6. 100% COMPLIANCE OTIF AUTOMATION POSTING. = 12.5%</w:t>
            </w:r>
          </w:p>
        </w:tc>
        <w:tc>
          <w:tcPr>
            <w:tcW w:w="1029" w:type="dxa"/>
            <w:tcBorders>
              <w:top w:val="nil"/>
              <w:left w:val="nil"/>
              <w:bottom w:val="nil"/>
              <w:right w:val="nil"/>
            </w:tcBorders>
            <w:shd w:val="clear" w:color="auto" w:fill="auto"/>
            <w:noWrap/>
            <w:vAlign w:val="bottom"/>
            <w:hideMark/>
          </w:tcPr>
          <w:p w14:paraId="20F0EF19"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61150A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14FBD7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5802D320" w14:textId="77777777" w:rsidTr="007C5938">
        <w:trPr>
          <w:trHeight w:val="300"/>
        </w:trPr>
        <w:tc>
          <w:tcPr>
            <w:tcW w:w="6392" w:type="dxa"/>
            <w:gridSpan w:val="6"/>
            <w:tcBorders>
              <w:top w:val="nil"/>
              <w:left w:val="nil"/>
              <w:bottom w:val="nil"/>
              <w:right w:val="nil"/>
            </w:tcBorders>
            <w:shd w:val="clear" w:color="auto" w:fill="auto"/>
            <w:noWrap/>
            <w:vAlign w:val="bottom"/>
            <w:hideMark/>
          </w:tcPr>
          <w:p w14:paraId="73D6AD7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7. 100% ACCURACY AUTOMATION POSTING. = 12.5%</w:t>
            </w:r>
          </w:p>
        </w:tc>
        <w:tc>
          <w:tcPr>
            <w:tcW w:w="1029" w:type="dxa"/>
            <w:tcBorders>
              <w:top w:val="nil"/>
              <w:left w:val="nil"/>
              <w:bottom w:val="nil"/>
              <w:right w:val="nil"/>
            </w:tcBorders>
            <w:shd w:val="clear" w:color="auto" w:fill="auto"/>
            <w:noWrap/>
            <w:vAlign w:val="bottom"/>
            <w:hideMark/>
          </w:tcPr>
          <w:p w14:paraId="0DCA03EE"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A057670"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E9D6A4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2B662A04" w14:textId="77777777" w:rsidTr="007C5938">
        <w:trPr>
          <w:trHeight w:val="300"/>
        </w:trPr>
        <w:tc>
          <w:tcPr>
            <w:tcW w:w="9479" w:type="dxa"/>
            <w:gridSpan w:val="9"/>
            <w:tcBorders>
              <w:top w:val="nil"/>
              <w:left w:val="nil"/>
              <w:bottom w:val="nil"/>
              <w:right w:val="nil"/>
            </w:tcBorders>
            <w:shd w:val="clear" w:color="auto" w:fill="auto"/>
            <w:noWrap/>
            <w:vAlign w:val="bottom"/>
            <w:hideMark/>
          </w:tcPr>
          <w:p w14:paraId="7F6A4857"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8. CUSTOMER RELATION, MANAGING CUSTOMERS (OPS, MAE, FEE/M, TRADE PARTNERS). = 10%</w:t>
            </w:r>
          </w:p>
        </w:tc>
      </w:tr>
      <w:tr w:rsidR="00DD1A57" w:rsidRPr="00DD1A57" w14:paraId="6DBCD993" w14:textId="77777777" w:rsidTr="007C5938">
        <w:trPr>
          <w:trHeight w:val="300"/>
        </w:trPr>
        <w:tc>
          <w:tcPr>
            <w:tcW w:w="4475" w:type="dxa"/>
            <w:tcBorders>
              <w:top w:val="nil"/>
              <w:left w:val="nil"/>
              <w:bottom w:val="nil"/>
              <w:right w:val="nil"/>
            </w:tcBorders>
            <w:shd w:val="clear" w:color="auto" w:fill="auto"/>
            <w:noWrap/>
            <w:vAlign w:val="bottom"/>
            <w:hideMark/>
          </w:tcPr>
          <w:p w14:paraId="0966B16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43B056A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EF8C172"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822138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E53BEBE"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DC9484F"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DE7A489"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AA0118F"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9CE631B"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4A27AD4D" w14:textId="77777777" w:rsidTr="007C5938">
        <w:trPr>
          <w:trHeight w:val="300"/>
        </w:trPr>
        <w:tc>
          <w:tcPr>
            <w:tcW w:w="4697" w:type="dxa"/>
            <w:gridSpan w:val="2"/>
            <w:tcBorders>
              <w:top w:val="nil"/>
              <w:left w:val="nil"/>
              <w:bottom w:val="nil"/>
              <w:right w:val="nil"/>
            </w:tcBorders>
            <w:shd w:val="clear" w:color="auto" w:fill="auto"/>
            <w:noWrap/>
            <w:vAlign w:val="bottom"/>
            <w:hideMark/>
          </w:tcPr>
          <w:p w14:paraId="00F3C348" w14:textId="77777777" w:rsidR="00DD1A57" w:rsidRPr="00DD1A57" w:rsidRDefault="00DD1A57" w:rsidP="007C5938">
            <w:pPr>
              <w:spacing w:line="240" w:lineRule="auto"/>
              <w:rPr>
                <w:rFonts w:asciiTheme="majorHAnsi" w:hAnsiTheme="majorHAnsi" w:cstheme="majorHAnsi"/>
                <w:b/>
                <w:bCs/>
                <w:color w:val="000000"/>
                <w:sz w:val="22"/>
                <w:szCs w:val="22"/>
                <w:lang w:val="fil-PH" w:eastAsia="fil-PH"/>
              </w:rPr>
            </w:pPr>
            <w:r w:rsidRPr="00DD1A57">
              <w:rPr>
                <w:rFonts w:asciiTheme="majorHAnsi" w:hAnsiTheme="majorHAnsi" w:cstheme="majorHAnsi"/>
                <w:b/>
                <w:bCs/>
                <w:color w:val="000000"/>
                <w:sz w:val="22"/>
                <w:szCs w:val="22"/>
                <w:lang w:val="fil-PH" w:eastAsia="fil-PH"/>
              </w:rPr>
              <w:t>SUMMARY:</w:t>
            </w:r>
          </w:p>
        </w:tc>
        <w:tc>
          <w:tcPr>
            <w:tcW w:w="222" w:type="dxa"/>
            <w:tcBorders>
              <w:top w:val="nil"/>
              <w:left w:val="nil"/>
              <w:bottom w:val="nil"/>
              <w:right w:val="nil"/>
            </w:tcBorders>
            <w:shd w:val="clear" w:color="auto" w:fill="auto"/>
            <w:noWrap/>
            <w:vAlign w:val="bottom"/>
            <w:hideMark/>
          </w:tcPr>
          <w:p w14:paraId="229763C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24DB4267"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A8F337D"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2B6F7DF"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05003B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8AB293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958AE69"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26C1BC15" w14:textId="77777777" w:rsidTr="007C5938">
        <w:trPr>
          <w:trHeight w:val="300"/>
        </w:trPr>
        <w:tc>
          <w:tcPr>
            <w:tcW w:w="4475" w:type="dxa"/>
            <w:tcBorders>
              <w:top w:val="nil"/>
              <w:left w:val="nil"/>
              <w:bottom w:val="nil"/>
              <w:right w:val="nil"/>
            </w:tcBorders>
            <w:shd w:val="clear" w:color="auto" w:fill="auto"/>
            <w:noWrap/>
            <w:vAlign w:val="bottom"/>
            <w:hideMark/>
          </w:tcPr>
          <w:p w14:paraId="6F30392D"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1. 25%</w:t>
            </w:r>
          </w:p>
        </w:tc>
        <w:tc>
          <w:tcPr>
            <w:tcW w:w="222" w:type="dxa"/>
            <w:tcBorders>
              <w:top w:val="nil"/>
              <w:left w:val="nil"/>
              <w:bottom w:val="nil"/>
              <w:right w:val="nil"/>
            </w:tcBorders>
            <w:shd w:val="clear" w:color="auto" w:fill="auto"/>
            <w:noWrap/>
            <w:vAlign w:val="bottom"/>
            <w:hideMark/>
          </w:tcPr>
          <w:p w14:paraId="280E5F8C"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4A743C6D"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83EEEC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15AFF37"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AFDC04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3C6B28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8BB77C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AEED081"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4B198D4C" w14:textId="77777777" w:rsidTr="007C5938">
        <w:trPr>
          <w:trHeight w:val="300"/>
        </w:trPr>
        <w:tc>
          <w:tcPr>
            <w:tcW w:w="4475" w:type="dxa"/>
            <w:tcBorders>
              <w:top w:val="nil"/>
              <w:left w:val="nil"/>
              <w:bottom w:val="nil"/>
              <w:right w:val="nil"/>
            </w:tcBorders>
            <w:shd w:val="clear" w:color="auto" w:fill="auto"/>
            <w:noWrap/>
            <w:vAlign w:val="bottom"/>
            <w:hideMark/>
          </w:tcPr>
          <w:p w14:paraId="7159359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2. 10%</w:t>
            </w:r>
          </w:p>
        </w:tc>
        <w:tc>
          <w:tcPr>
            <w:tcW w:w="222" w:type="dxa"/>
            <w:tcBorders>
              <w:top w:val="nil"/>
              <w:left w:val="nil"/>
              <w:bottom w:val="nil"/>
              <w:right w:val="nil"/>
            </w:tcBorders>
            <w:shd w:val="clear" w:color="auto" w:fill="auto"/>
            <w:noWrap/>
            <w:vAlign w:val="bottom"/>
            <w:hideMark/>
          </w:tcPr>
          <w:p w14:paraId="0669B208"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FDF9E2C"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0C3B97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4FAF5FB3"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5F742D3"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9CB689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B78AE8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FCBDE3B"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01A5D676" w14:textId="77777777" w:rsidTr="007C5938">
        <w:trPr>
          <w:trHeight w:val="300"/>
        </w:trPr>
        <w:tc>
          <w:tcPr>
            <w:tcW w:w="4475" w:type="dxa"/>
            <w:tcBorders>
              <w:top w:val="nil"/>
              <w:left w:val="nil"/>
              <w:bottom w:val="nil"/>
              <w:right w:val="nil"/>
            </w:tcBorders>
            <w:shd w:val="clear" w:color="auto" w:fill="auto"/>
            <w:noWrap/>
            <w:vAlign w:val="bottom"/>
            <w:hideMark/>
          </w:tcPr>
          <w:p w14:paraId="2E4E6CDC"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3. 10%</w:t>
            </w:r>
          </w:p>
        </w:tc>
        <w:tc>
          <w:tcPr>
            <w:tcW w:w="222" w:type="dxa"/>
            <w:tcBorders>
              <w:top w:val="nil"/>
              <w:left w:val="nil"/>
              <w:bottom w:val="nil"/>
              <w:right w:val="nil"/>
            </w:tcBorders>
            <w:shd w:val="clear" w:color="auto" w:fill="auto"/>
            <w:noWrap/>
            <w:vAlign w:val="bottom"/>
            <w:hideMark/>
          </w:tcPr>
          <w:p w14:paraId="11B2FC02"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A7A822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8E049E4"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F7F9859"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D049D72"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518F5DC"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99CAB6C"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A693869"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5B08A5AF" w14:textId="77777777" w:rsidTr="007C5938">
        <w:trPr>
          <w:trHeight w:val="300"/>
        </w:trPr>
        <w:tc>
          <w:tcPr>
            <w:tcW w:w="4475" w:type="dxa"/>
            <w:tcBorders>
              <w:top w:val="nil"/>
              <w:left w:val="nil"/>
              <w:bottom w:val="nil"/>
              <w:right w:val="nil"/>
            </w:tcBorders>
            <w:shd w:val="clear" w:color="auto" w:fill="auto"/>
            <w:noWrap/>
            <w:vAlign w:val="bottom"/>
            <w:hideMark/>
          </w:tcPr>
          <w:p w14:paraId="522116D4"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4. 10%</w:t>
            </w:r>
          </w:p>
        </w:tc>
        <w:tc>
          <w:tcPr>
            <w:tcW w:w="222" w:type="dxa"/>
            <w:tcBorders>
              <w:top w:val="nil"/>
              <w:left w:val="nil"/>
              <w:bottom w:val="nil"/>
              <w:right w:val="nil"/>
            </w:tcBorders>
            <w:shd w:val="clear" w:color="auto" w:fill="auto"/>
            <w:noWrap/>
            <w:vAlign w:val="bottom"/>
            <w:hideMark/>
          </w:tcPr>
          <w:p w14:paraId="5A759211"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B716D51"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97B9FC7"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6AD901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B7E0433"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C73C85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0D93A60"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8A13203"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42742D9C" w14:textId="77777777" w:rsidTr="007C5938">
        <w:trPr>
          <w:trHeight w:val="300"/>
        </w:trPr>
        <w:tc>
          <w:tcPr>
            <w:tcW w:w="4475" w:type="dxa"/>
            <w:tcBorders>
              <w:top w:val="nil"/>
              <w:left w:val="nil"/>
              <w:bottom w:val="nil"/>
              <w:right w:val="nil"/>
            </w:tcBorders>
            <w:shd w:val="clear" w:color="auto" w:fill="auto"/>
            <w:noWrap/>
            <w:vAlign w:val="bottom"/>
            <w:hideMark/>
          </w:tcPr>
          <w:p w14:paraId="75C90981"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5. 10%</w:t>
            </w:r>
          </w:p>
        </w:tc>
        <w:tc>
          <w:tcPr>
            <w:tcW w:w="222" w:type="dxa"/>
            <w:tcBorders>
              <w:top w:val="nil"/>
              <w:left w:val="nil"/>
              <w:bottom w:val="nil"/>
              <w:right w:val="nil"/>
            </w:tcBorders>
            <w:shd w:val="clear" w:color="auto" w:fill="auto"/>
            <w:noWrap/>
            <w:vAlign w:val="bottom"/>
            <w:hideMark/>
          </w:tcPr>
          <w:p w14:paraId="3C7E9F63"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0B566D0"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2A362F34"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BBD981B"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381492F"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1E14FD8"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BC0B4B0"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AE085A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06A7E888" w14:textId="77777777" w:rsidTr="007C5938">
        <w:trPr>
          <w:trHeight w:val="300"/>
        </w:trPr>
        <w:tc>
          <w:tcPr>
            <w:tcW w:w="4475" w:type="dxa"/>
            <w:tcBorders>
              <w:top w:val="nil"/>
              <w:left w:val="nil"/>
              <w:bottom w:val="nil"/>
              <w:right w:val="nil"/>
            </w:tcBorders>
            <w:shd w:val="clear" w:color="auto" w:fill="auto"/>
            <w:noWrap/>
            <w:vAlign w:val="bottom"/>
            <w:hideMark/>
          </w:tcPr>
          <w:p w14:paraId="7E06A0B2"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6.7. 25%</w:t>
            </w:r>
          </w:p>
        </w:tc>
        <w:tc>
          <w:tcPr>
            <w:tcW w:w="222" w:type="dxa"/>
            <w:tcBorders>
              <w:top w:val="nil"/>
              <w:left w:val="nil"/>
              <w:bottom w:val="nil"/>
              <w:right w:val="nil"/>
            </w:tcBorders>
            <w:shd w:val="clear" w:color="auto" w:fill="auto"/>
            <w:noWrap/>
            <w:vAlign w:val="bottom"/>
            <w:hideMark/>
          </w:tcPr>
          <w:p w14:paraId="5F4FC380"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20BE2A4"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D02589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E0D5660"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0B7594C"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4E989D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E598653"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B82DEBE"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DD1A57" w14:paraId="30500611" w14:textId="77777777" w:rsidTr="007C5938">
        <w:trPr>
          <w:trHeight w:val="300"/>
        </w:trPr>
        <w:tc>
          <w:tcPr>
            <w:tcW w:w="4475" w:type="dxa"/>
            <w:tcBorders>
              <w:top w:val="nil"/>
              <w:left w:val="nil"/>
              <w:bottom w:val="nil"/>
              <w:right w:val="nil"/>
            </w:tcBorders>
            <w:shd w:val="clear" w:color="auto" w:fill="auto"/>
            <w:noWrap/>
            <w:vAlign w:val="bottom"/>
            <w:hideMark/>
          </w:tcPr>
          <w:p w14:paraId="72906426"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r w:rsidRPr="00DD1A57">
              <w:rPr>
                <w:rFonts w:asciiTheme="majorHAnsi" w:hAnsiTheme="majorHAnsi" w:cstheme="majorHAnsi"/>
                <w:color w:val="000000"/>
                <w:sz w:val="22"/>
                <w:szCs w:val="22"/>
                <w:lang w:val="fil-PH" w:eastAsia="fil-PH"/>
              </w:rPr>
              <w:t>8. 10%</w:t>
            </w:r>
          </w:p>
        </w:tc>
        <w:tc>
          <w:tcPr>
            <w:tcW w:w="222" w:type="dxa"/>
            <w:tcBorders>
              <w:top w:val="nil"/>
              <w:left w:val="nil"/>
              <w:bottom w:val="nil"/>
              <w:right w:val="nil"/>
            </w:tcBorders>
            <w:shd w:val="clear" w:color="auto" w:fill="auto"/>
            <w:noWrap/>
            <w:vAlign w:val="bottom"/>
            <w:hideMark/>
          </w:tcPr>
          <w:p w14:paraId="285EEF3B"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D0C73C9"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41C2DF8E"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C0715E3"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6DF945B"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A4B60AB"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8C85265"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80DB11A" w14:textId="77777777" w:rsidR="00DD1A57" w:rsidRPr="00DD1A57" w:rsidRDefault="00DD1A57" w:rsidP="007C5938">
            <w:pPr>
              <w:spacing w:line="240" w:lineRule="auto"/>
              <w:rPr>
                <w:rFonts w:asciiTheme="majorHAnsi" w:hAnsiTheme="majorHAnsi" w:cstheme="majorHAnsi"/>
                <w:color w:val="000000"/>
                <w:sz w:val="22"/>
                <w:szCs w:val="22"/>
                <w:lang w:val="fil-PH" w:eastAsia="fil-PH"/>
              </w:rPr>
            </w:pPr>
          </w:p>
        </w:tc>
      </w:tr>
      <w:tr w:rsidR="00DD1A57" w:rsidRPr="007B2530" w14:paraId="2B1F60DD" w14:textId="77777777" w:rsidTr="007C5938">
        <w:trPr>
          <w:trHeight w:val="300"/>
        </w:trPr>
        <w:tc>
          <w:tcPr>
            <w:tcW w:w="4697" w:type="dxa"/>
            <w:gridSpan w:val="2"/>
            <w:tcBorders>
              <w:top w:val="nil"/>
              <w:left w:val="nil"/>
              <w:bottom w:val="nil"/>
              <w:right w:val="nil"/>
            </w:tcBorders>
            <w:shd w:val="clear" w:color="auto" w:fill="auto"/>
            <w:noWrap/>
            <w:vAlign w:val="bottom"/>
            <w:hideMark/>
          </w:tcPr>
          <w:p w14:paraId="090588EE" w14:textId="77777777" w:rsidR="00DD1A57" w:rsidRPr="007B2530" w:rsidRDefault="00DD1A57" w:rsidP="007C5938">
            <w:pPr>
              <w:spacing w:line="240" w:lineRule="auto"/>
              <w:rPr>
                <w:rFonts w:cs="Arial"/>
                <w:b/>
                <w:bCs/>
                <w:color w:val="000000"/>
                <w:szCs w:val="20"/>
                <w:lang w:val="fil-PH" w:eastAsia="fil-PH"/>
              </w:rPr>
            </w:pPr>
            <w:r w:rsidRPr="007B2530">
              <w:rPr>
                <w:rFonts w:cs="Arial"/>
                <w:b/>
                <w:bCs/>
                <w:color w:val="000000"/>
                <w:szCs w:val="20"/>
                <w:lang w:val="fil-PH" w:eastAsia="fil-PH"/>
              </w:rPr>
              <w:t>TOTAL = 100%</w:t>
            </w:r>
          </w:p>
        </w:tc>
        <w:tc>
          <w:tcPr>
            <w:tcW w:w="222" w:type="dxa"/>
            <w:tcBorders>
              <w:top w:val="nil"/>
              <w:left w:val="nil"/>
              <w:bottom w:val="nil"/>
              <w:right w:val="nil"/>
            </w:tcBorders>
            <w:shd w:val="clear" w:color="auto" w:fill="auto"/>
            <w:noWrap/>
            <w:vAlign w:val="bottom"/>
            <w:hideMark/>
          </w:tcPr>
          <w:p w14:paraId="3462C244" w14:textId="77777777" w:rsidR="00DD1A57" w:rsidRPr="007B2530" w:rsidRDefault="00DD1A57" w:rsidP="007C5938">
            <w:pPr>
              <w:spacing w:line="240" w:lineRule="auto"/>
              <w:rPr>
                <w:rFonts w:cs="Arial"/>
                <w:color w:val="000000"/>
                <w:szCs w:val="20"/>
                <w:lang w:val="fil-PH" w:eastAsia="fil-PH"/>
              </w:rPr>
            </w:pPr>
          </w:p>
        </w:tc>
        <w:tc>
          <w:tcPr>
            <w:tcW w:w="222" w:type="dxa"/>
            <w:tcBorders>
              <w:top w:val="nil"/>
              <w:left w:val="nil"/>
              <w:bottom w:val="nil"/>
              <w:right w:val="nil"/>
            </w:tcBorders>
            <w:shd w:val="clear" w:color="auto" w:fill="auto"/>
            <w:noWrap/>
            <w:vAlign w:val="bottom"/>
            <w:hideMark/>
          </w:tcPr>
          <w:p w14:paraId="4BC38032" w14:textId="77777777" w:rsidR="00DD1A57" w:rsidRPr="007B2530" w:rsidRDefault="00DD1A57" w:rsidP="007C5938">
            <w:pPr>
              <w:spacing w:line="240" w:lineRule="auto"/>
              <w:rPr>
                <w:rFonts w:cs="Arial"/>
                <w:color w:val="000000"/>
                <w:szCs w:val="20"/>
                <w:lang w:val="fil-PH" w:eastAsia="fil-PH"/>
              </w:rPr>
            </w:pPr>
          </w:p>
        </w:tc>
        <w:tc>
          <w:tcPr>
            <w:tcW w:w="222" w:type="dxa"/>
            <w:tcBorders>
              <w:top w:val="nil"/>
              <w:left w:val="nil"/>
              <w:bottom w:val="nil"/>
              <w:right w:val="nil"/>
            </w:tcBorders>
            <w:shd w:val="clear" w:color="auto" w:fill="auto"/>
            <w:noWrap/>
            <w:vAlign w:val="bottom"/>
            <w:hideMark/>
          </w:tcPr>
          <w:p w14:paraId="2619E1AC" w14:textId="77777777" w:rsidR="00DD1A57" w:rsidRPr="007B2530" w:rsidRDefault="00DD1A57" w:rsidP="007C5938">
            <w:pPr>
              <w:spacing w:line="240" w:lineRule="auto"/>
              <w:rPr>
                <w:rFonts w:cs="Arial"/>
                <w:color w:val="000000"/>
                <w:szCs w:val="20"/>
                <w:lang w:val="fil-PH" w:eastAsia="fil-PH"/>
              </w:rPr>
            </w:pPr>
          </w:p>
        </w:tc>
        <w:tc>
          <w:tcPr>
            <w:tcW w:w="1029" w:type="dxa"/>
            <w:tcBorders>
              <w:top w:val="nil"/>
              <w:left w:val="nil"/>
              <w:bottom w:val="nil"/>
              <w:right w:val="nil"/>
            </w:tcBorders>
            <w:shd w:val="clear" w:color="auto" w:fill="auto"/>
            <w:noWrap/>
            <w:vAlign w:val="bottom"/>
            <w:hideMark/>
          </w:tcPr>
          <w:p w14:paraId="49F33F5A" w14:textId="77777777" w:rsidR="00DD1A57" w:rsidRPr="007B2530" w:rsidRDefault="00DD1A57" w:rsidP="007C5938">
            <w:pPr>
              <w:spacing w:line="240" w:lineRule="auto"/>
              <w:rPr>
                <w:rFonts w:cs="Arial"/>
                <w:color w:val="000000"/>
                <w:szCs w:val="20"/>
                <w:lang w:val="fil-PH" w:eastAsia="fil-PH"/>
              </w:rPr>
            </w:pPr>
          </w:p>
        </w:tc>
        <w:tc>
          <w:tcPr>
            <w:tcW w:w="1029" w:type="dxa"/>
            <w:tcBorders>
              <w:top w:val="nil"/>
              <w:left w:val="nil"/>
              <w:bottom w:val="nil"/>
              <w:right w:val="nil"/>
            </w:tcBorders>
            <w:shd w:val="clear" w:color="auto" w:fill="auto"/>
            <w:noWrap/>
            <w:vAlign w:val="bottom"/>
            <w:hideMark/>
          </w:tcPr>
          <w:p w14:paraId="13D23E8F" w14:textId="77777777" w:rsidR="00DD1A57" w:rsidRPr="007B2530" w:rsidRDefault="00DD1A57" w:rsidP="007C5938">
            <w:pPr>
              <w:spacing w:line="240" w:lineRule="auto"/>
              <w:rPr>
                <w:rFonts w:cs="Arial"/>
                <w:color w:val="000000"/>
                <w:szCs w:val="20"/>
                <w:lang w:val="fil-PH" w:eastAsia="fil-PH"/>
              </w:rPr>
            </w:pPr>
          </w:p>
        </w:tc>
        <w:tc>
          <w:tcPr>
            <w:tcW w:w="1029" w:type="dxa"/>
            <w:tcBorders>
              <w:top w:val="nil"/>
              <w:left w:val="nil"/>
              <w:bottom w:val="nil"/>
              <w:right w:val="nil"/>
            </w:tcBorders>
            <w:shd w:val="clear" w:color="auto" w:fill="auto"/>
            <w:noWrap/>
            <w:vAlign w:val="bottom"/>
            <w:hideMark/>
          </w:tcPr>
          <w:p w14:paraId="03B6A5C8" w14:textId="77777777" w:rsidR="00DD1A57" w:rsidRPr="007B2530" w:rsidRDefault="00DD1A57" w:rsidP="007C5938">
            <w:pPr>
              <w:spacing w:line="240" w:lineRule="auto"/>
              <w:rPr>
                <w:rFonts w:cs="Arial"/>
                <w:color w:val="000000"/>
                <w:szCs w:val="20"/>
                <w:lang w:val="fil-PH" w:eastAsia="fil-PH"/>
              </w:rPr>
            </w:pPr>
          </w:p>
        </w:tc>
        <w:tc>
          <w:tcPr>
            <w:tcW w:w="1029" w:type="dxa"/>
            <w:tcBorders>
              <w:top w:val="nil"/>
              <w:left w:val="nil"/>
              <w:bottom w:val="nil"/>
              <w:right w:val="nil"/>
            </w:tcBorders>
            <w:shd w:val="clear" w:color="auto" w:fill="auto"/>
            <w:noWrap/>
            <w:vAlign w:val="bottom"/>
            <w:hideMark/>
          </w:tcPr>
          <w:p w14:paraId="1102951E" w14:textId="77777777" w:rsidR="00DD1A57" w:rsidRPr="007B2530" w:rsidRDefault="00DD1A57" w:rsidP="007C5938">
            <w:pPr>
              <w:spacing w:line="240" w:lineRule="auto"/>
              <w:rPr>
                <w:rFonts w:cs="Arial"/>
                <w:color w:val="000000"/>
                <w:szCs w:val="20"/>
                <w:lang w:val="fil-PH" w:eastAsia="fil-PH"/>
              </w:rPr>
            </w:pPr>
          </w:p>
        </w:tc>
      </w:tr>
    </w:tbl>
    <w:p w14:paraId="1AA79FB2" w14:textId="77777777"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EF0274" w14:textId="413DFD19"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93C4E" w14:textId="77777777" w:rsidR="00B01432" w:rsidRDefault="00B01432">
      <w:r>
        <w:separator/>
      </w:r>
    </w:p>
  </w:endnote>
  <w:endnote w:type="continuationSeparator" w:id="0">
    <w:p w14:paraId="12888CC9" w14:textId="77777777" w:rsidR="00B01432" w:rsidRDefault="00B01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FF09F" w14:textId="77777777" w:rsidR="00B01432" w:rsidRDefault="00B01432">
      <w:r>
        <w:separator/>
      </w:r>
    </w:p>
  </w:footnote>
  <w:footnote w:type="continuationSeparator" w:id="0">
    <w:p w14:paraId="2AAAD7AA" w14:textId="77777777" w:rsidR="00B01432" w:rsidRDefault="00B01432">
      <w:r>
        <w:separator/>
      </w:r>
    </w:p>
    <w:p w14:paraId="772062C1" w14:textId="77777777" w:rsidR="00B01432" w:rsidRDefault="00B01432"/>
  </w:footnote>
  <w:footnote w:type="continuationNotice" w:id="1">
    <w:p w14:paraId="41A3FD47" w14:textId="77777777" w:rsidR="00B01432" w:rsidRDefault="00B0143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2"/>
  </w:num>
  <w:num w:numId="10">
    <w:abstractNumId w:val="0"/>
  </w:num>
  <w:num w:numId="11">
    <w:abstractNumId w:val="29"/>
  </w:num>
  <w:num w:numId="12">
    <w:abstractNumId w:val="29"/>
  </w:num>
  <w:num w:numId="13">
    <w:abstractNumId w:val="29"/>
  </w:num>
  <w:num w:numId="14">
    <w:abstractNumId w:val="23"/>
  </w:num>
  <w:num w:numId="15">
    <w:abstractNumId w:val="34"/>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3"/>
  </w:num>
  <w:num w:numId="30">
    <w:abstractNumId w:val="16"/>
  </w:num>
  <w:num w:numId="31">
    <w:abstractNumId w:val="25"/>
  </w:num>
  <w:num w:numId="32">
    <w:abstractNumId w:val="30"/>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1"/>
  </w:num>
  <w:num w:numId="40">
    <w:abstractNumId w:val="27"/>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CAB"/>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1432"/>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AA9947-C6AB-4603-82F7-84C6C6469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2019-08-02T06:12:00Z</dcterms:created>
  <dcterms:modified xsi:type="dcterms:W3CDTF">2019-08-02T06:12:00Z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