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A0" w:rsidRDefault="00DA77A0" w:rsidP="00F527A2">
      <w:pPr>
        <w:rPr>
          <w:rFonts w:ascii="Terminator Real NFI" w:hAnsi="Terminator Real NFI"/>
          <w:sz w:val="24"/>
          <w:szCs w:val="24"/>
        </w:rPr>
      </w:pPr>
      <w:r>
        <w:rPr>
          <w:rFonts w:ascii="Terminator Real NFI" w:hAnsi="Terminator Real NFI"/>
          <w:sz w:val="24"/>
          <w:szCs w:val="24"/>
        </w:rPr>
        <w:t>Processor – GIS</w:t>
      </w:r>
    </w:p>
    <w:p w:rsidR="00DA77A0" w:rsidRDefault="00DA77A0" w:rsidP="00F527A2">
      <w:pPr>
        <w:rPr>
          <w:rFonts w:ascii="Terminator Real NFI" w:hAnsi="Terminator Real NFI"/>
          <w:sz w:val="24"/>
          <w:szCs w:val="24"/>
        </w:rPr>
      </w:pPr>
      <w:r>
        <w:rPr>
          <w:rFonts w:ascii="Terminator Real NFI" w:hAnsi="Terminator Real NFI"/>
          <w:noProof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cessor_G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A0" w:rsidRDefault="00B70E08" w:rsidP="00F527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Export to</w:t>
      </w:r>
      <w:r w:rsidR="007919CB">
        <w:rPr>
          <w:rFonts w:cstheme="minorHAnsi"/>
          <w:b/>
          <w:sz w:val="32"/>
          <w:szCs w:val="32"/>
        </w:rPr>
        <w:t xml:space="preserve"> XLSX User Guide</w:t>
      </w:r>
    </w:p>
    <w:p w:rsidR="00FD5B47" w:rsidRDefault="009B4622" w:rsidP="00FD5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Welcome to the Python XLSX geoprocessing tool project for ArcGIS.  </w:t>
      </w:r>
      <w:r w:rsidR="007C489B">
        <w:rPr>
          <w:rFonts w:cstheme="minorHAnsi"/>
          <w:sz w:val="24"/>
          <w:szCs w:val="24"/>
        </w:rPr>
        <w:t>This is an open</w:t>
      </w:r>
      <w:r w:rsidR="00670E81">
        <w:rPr>
          <w:rFonts w:cstheme="minorHAnsi"/>
          <w:sz w:val="24"/>
          <w:szCs w:val="24"/>
        </w:rPr>
        <w:t xml:space="preserve"> source pro</w:t>
      </w:r>
      <w:r w:rsidR="00156028">
        <w:rPr>
          <w:rFonts w:cstheme="minorHAnsi"/>
          <w:sz w:val="24"/>
          <w:szCs w:val="24"/>
        </w:rPr>
        <w:t>ject started by Processor-GIS to help geoprocessing workflows easily write data to .</w:t>
      </w:r>
      <w:proofErr w:type="spellStart"/>
      <w:r w:rsidR="00156028">
        <w:rPr>
          <w:rFonts w:cstheme="minorHAnsi"/>
          <w:sz w:val="24"/>
          <w:szCs w:val="24"/>
        </w:rPr>
        <w:t>xlsx</w:t>
      </w:r>
      <w:proofErr w:type="spellEnd"/>
      <w:r w:rsidR="00156028">
        <w:rPr>
          <w:rFonts w:cstheme="minorHAnsi"/>
          <w:sz w:val="24"/>
          <w:szCs w:val="24"/>
        </w:rPr>
        <w:t xml:space="preserve"> </w:t>
      </w:r>
      <w:r w:rsidR="00060C90">
        <w:rPr>
          <w:rFonts w:cstheme="minorHAnsi"/>
          <w:sz w:val="24"/>
          <w:szCs w:val="24"/>
        </w:rPr>
        <w:t xml:space="preserve">(Excel 2010) </w:t>
      </w:r>
      <w:r w:rsidR="00156028">
        <w:rPr>
          <w:rFonts w:cstheme="minorHAnsi"/>
          <w:sz w:val="24"/>
          <w:szCs w:val="24"/>
        </w:rPr>
        <w:t xml:space="preserve">format.  </w:t>
      </w:r>
      <w:r w:rsidR="00130A00">
        <w:rPr>
          <w:rFonts w:cstheme="minorHAnsi"/>
          <w:sz w:val="24"/>
          <w:szCs w:val="24"/>
        </w:rPr>
        <w:t>This document serves as a guide for using the tool.  Please note that the tool requires an additional 3</w:t>
      </w:r>
      <w:r w:rsidR="00130A00" w:rsidRPr="00130A00">
        <w:rPr>
          <w:rFonts w:cstheme="minorHAnsi"/>
          <w:sz w:val="24"/>
          <w:szCs w:val="24"/>
          <w:vertAlign w:val="superscript"/>
        </w:rPr>
        <w:t>rd</w:t>
      </w:r>
      <w:r w:rsidR="00130A00">
        <w:rPr>
          <w:rFonts w:cstheme="minorHAnsi"/>
          <w:sz w:val="24"/>
          <w:szCs w:val="24"/>
        </w:rPr>
        <w:t xml:space="preserve"> party library for Python called </w:t>
      </w:r>
      <w:proofErr w:type="spellStart"/>
      <w:r w:rsidR="00E50D4C">
        <w:rPr>
          <w:rFonts w:cstheme="minorHAnsi"/>
          <w:sz w:val="24"/>
          <w:szCs w:val="24"/>
        </w:rPr>
        <w:t>openpyxl</w:t>
      </w:r>
      <w:proofErr w:type="spellEnd"/>
      <w:r w:rsidR="00E50D4C">
        <w:rPr>
          <w:rFonts w:cstheme="minorHAnsi"/>
          <w:sz w:val="24"/>
          <w:szCs w:val="24"/>
        </w:rPr>
        <w:t>.  This library is not installed with ArcGIS or Python</w:t>
      </w:r>
      <w:r w:rsidR="00080226">
        <w:rPr>
          <w:rFonts w:cstheme="minorHAnsi"/>
          <w:sz w:val="24"/>
          <w:szCs w:val="24"/>
        </w:rPr>
        <w:t xml:space="preserve"> by default</w:t>
      </w:r>
      <w:r w:rsidR="00E50D4C">
        <w:rPr>
          <w:rFonts w:cstheme="minorHAnsi"/>
          <w:sz w:val="24"/>
          <w:szCs w:val="24"/>
        </w:rPr>
        <w:t xml:space="preserve"> and must be installed separately.  </w:t>
      </w:r>
      <w:r w:rsidR="00080226">
        <w:rPr>
          <w:rFonts w:cstheme="minorHAnsi"/>
          <w:sz w:val="24"/>
          <w:szCs w:val="24"/>
        </w:rPr>
        <w:t xml:space="preserve">Please see our document titled </w:t>
      </w:r>
      <w:proofErr w:type="spellStart"/>
      <w:r w:rsidR="00080226" w:rsidRPr="00080226">
        <w:rPr>
          <w:rFonts w:cstheme="minorHAnsi"/>
          <w:sz w:val="24"/>
          <w:szCs w:val="24"/>
        </w:rPr>
        <w:t>openpyxl_Installation</w:t>
      </w:r>
      <w:proofErr w:type="spellEnd"/>
      <w:r w:rsidR="00060C90">
        <w:rPr>
          <w:rFonts w:cstheme="minorHAnsi"/>
          <w:sz w:val="24"/>
          <w:szCs w:val="24"/>
        </w:rPr>
        <w:t xml:space="preserve"> to accomplish this </w:t>
      </w:r>
      <w:r w:rsidR="00080226">
        <w:rPr>
          <w:rFonts w:cstheme="minorHAnsi"/>
          <w:sz w:val="24"/>
          <w:szCs w:val="24"/>
        </w:rPr>
        <w:t xml:space="preserve">task.  </w:t>
      </w:r>
    </w:p>
    <w:p w:rsidR="00FD5B47" w:rsidRDefault="00FD5B47" w:rsidP="00FD5B4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System Requirements</w:t>
      </w:r>
    </w:p>
    <w:p w:rsidR="00FD5B47" w:rsidRDefault="00B70E08" w:rsidP="00FD5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ArcGIS 10.4+</w:t>
      </w:r>
    </w:p>
    <w:p w:rsidR="00B70E08" w:rsidRDefault="00B70E08" w:rsidP="00FD5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 Excel 2010+</w:t>
      </w:r>
    </w:p>
    <w:p w:rsidR="00C31C21" w:rsidRDefault="00C31C21" w:rsidP="00FD5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 2.7.12</w:t>
      </w:r>
    </w:p>
    <w:p w:rsidR="00C31C21" w:rsidRPr="00FD5B47" w:rsidRDefault="00C31C21" w:rsidP="00C31C2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openpyxl</w:t>
      </w:r>
      <w:proofErr w:type="spellEnd"/>
      <w:r>
        <w:rPr>
          <w:rFonts w:cstheme="minorHAnsi"/>
          <w:sz w:val="24"/>
          <w:szCs w:val="24"/>
        </w:rPr>
        <w:t xml:space="preserve"> (Python library)</w:t>
      </w:r>
    </w:p>
    <w:p w:rsidR="00C31C21" w:rsidRDefault="00C31C21" w:rsidP="00C31C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proofErr w:type="spellStart"/>
      <w:r>
        <w:rPr>
          <w:rFonts w:cstheme="minorHAnsi"/>
          <w:sz w:val="24"/>
          <w:szCs w:val="24"/>
        </w:rPr>
        <w:t>setuptools</w:t>
      </w:r>
      <w:proofErr w:type="spellEnd"/>
      <w:r>
        <w:rPr>
          <w:rFonts w:cstheme="minorHAnsi"/>
          <w:sz w:val="24"/>
          <w:szCs w:val="24"/>
        </w:rPr>
        <w:t xml:space="preserve"> (Python library)</w:t>
      </w:r>
    </w:p>
    <w:p w:rsidR="00C31C21" w:rsidRPr="00E142CD" w:rsidRDefault="00C31C21" w:rsidP="00C31C21">
      <w:pPr>
        <w:rPr>
          <w:rFonts w:cstheme="minorHAnsi"/>
          <w:sz w:val="24"/>
          <w:szCs w:val="24"/>
        </w:rPr>
      </w:pPr>
    </w:p>
    <w:p w:rsidR="00525D49" w:rsidRPr="0041211C" w:rsidRDefault="0016530F" w:rsidP="00F527A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Installation</w:t>
      </w:r>
    </w:p>
    <w:p w:rsidR="00525D49" w:rsidRPr="00FA0EED" w:rsidRDefault="00CF795B" w:rsidP="00FA0EE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0EED">
        <w:rPr>
          <w:rFonts w:cstheme="minorHAnsi"/>
          <w:sz w:val="24"/>
          <w:szCs w:val="24"/>
        </w:rPr>
        <w:t>D</w:t>
      </w:r>
      <w:r w:rsidR="004D3532" w:rsidRPr="00FA0EED">
        <w:rPr>
          <w:rFonts w:cstheme="minorHAnsi"/>
          <w:sz w:val="24"/>
          <w:szCs w:val="24"/>
        </w:rPr>
        <w:t xml:space="preserve">ownload the </w:t>
      </w:r>
      <w:proofErr w:type="spellStart"/>
      <w:r w:rsidR="004D3532" w:rsidRPr="00FA0EED">
        <w:rPr>
          <w:rFonts w:cstheme="minorHAnsi"/>
          <w:sz w:val="24"/>
          <w:szCs w:val="24"/>
        </w:rPr>
        <w:t>ExportToXLSX.tbx</w:t>
      </w:r>
      <w:proofErr w:type="spellEnd"/>
      <w:r w:rsidR="004D3532" w:rsidRPr="00FA0EED">
        <w:rPr>
          <w:rFonts w:cstheme="minorHAnsi"/>
          <w:sz w:val="24"/>
          <w:szCs w:val="24"/>
        </w:rPr>
        <w:t xml:space="preserve"> file</w:t>
      </w:r>
      <w:r w:rsidRPr="00FA0EED">
        <w:rPr>
          <w:rFonts w:cstheme="minorHAnsi"/>
          <w:sz w:val="24"/>
          <w:szCs w:val="24"/>
        </w:rPr>
        <w:t xml:space="preserve"> and the ExportToXLSX.py file.  </w:t>
      </w:r>
      <w:r w:rsidR="002A41A6">
        <w:rPr>
          <w:rFonts w:cstheme="minorHAnsi"/>
          <w:sz w:val="24"/>
          <w:szCs w:val="24"/>
        </w:rPr>
        <w:t>These files may be downloa</w:t>
      </w:r>
      <w:r w:rsidR="0041211C">
        <w:rPr>
          <w:rFonts w:cstheme="minorHAnsi"/>
          <w:sz w:val="24"/>
          <w:szCs w:val="24"/>
        </w:rPr>
        <w:t xml:space="preserve">ded from the ArcGIS Code Sharing site or GitHub.  </w:t>
      </w:r>
      <w:r w:rsidR="003A6CC5" w:rsidRPr="00FA0EED">
        <w:rPr>
          <w:rFonts w:cstheme="minorHAnsi"/>
          <w:sz w:val="24"/>
          <w:szCs w:val="24"/>
        </w:rPr>
        <w:t>The .</w:t>
      </w:r>
      <w:proofErr w:type="spellStart"/>
      <w:r w:rsidR="003A6CC5" w:rsidRPr="00FA0EED">
        <w:rPr>
          <w:rFonts w:cstheme="minorHAnsi"/>
          <w:sz w:val="24"/>
          <w:szCs w:val="24"/>
        </w:rPr>
        <w:t>tbx</w:t>
      </w:r>
      <w:proofErr w:type="spellEnd"/>
      <w:r w:rsidR="003A6CC5" w:rsidRPr="00FA0EED">
        <w:rPr>
          <w:rFonts w:cstheme="minorHAnsi"/>
          <w:sz w:val="24"/>
          <w:szCs w:val="24"/>
        </w:rPr>
        <w:t xml:space="preserve"> file is an ArcGIS Toolbox file and the .</w:t>
      </w:r>
      <w:proofErr w:type="spellStart"/>
      <w:r w:rsidR="003A6CC5" w:rsidRPr="00FA0EED">
        <w:rPr>
          <w:rFonts w:cstheme="minorHAnsi"/>
          <w:sz w:val="24"/>
          <w:szCs w:val="24"/>
        </w:rPr>
        <w:t>py</w:t>
      </w:r>
      <w:proofErr w:type="spellEnd"/>
      <w:r w:rsidR="003A6CC5" w:rsidRPr="00FA0EED">
        <w:rPr>
          <w:rFonts w:cstheme="minorHAnsi"/>
          <w:sz w:val="24"/>
          <w:szCs w:val="24"/>
        </w:rPr>
        <w:t xml:space="preserve"> file is the Python script fi</w:t>
      </w:r>
      <w:r w:rsidR="00500B59" w:rsidRPr="00FA0EED">
        <w:rPr>
          <w:rFonts w:cstheme="minorHAnsi"/>
          <w:sz w:val="24"/>
          <w:szCs w:val="24"/>
        </w:rPr>
        <w:t>le containing the Python code.  It is recommended to store these</w:t>
      </w:r>
      <w:r w:rsidR="00194120" w:rsidRPr="00FA0EED">
        <w:rPr>
          <w:rFonts w:cstheme="minorHAnsi"/>
          <w:sz w:val="24"/>
          <w:szCs w:val="24"/>
        </w:rPr>
        <w:t xml:space="preserve"> two</w:t>
      </w:r>
      <w:r w:rsidR="00500B59" w:rsidRPr="00FA0EED">
        <w:rPr>
          <w:rFonts w:cstheme="minorHAnsi"/>
          <w:sz w:val="24"/>
          <w:szCs w:val="24"/>
        </w:rPr>
        <w:t xml:space="preserve"> files in the same folder </w:t>
      </w:r>
      <w:r w:rsidR="00A80294">
        <w:rPr>
          <w:rFonts w:cstheme="minorHAnsi"/>
          <w:sz w:val="24"/>
          <w:szCs w:val="24"/>
        </w:rPr>
        <w:t>location because the ArcGIS Toolbox</w:t>
      </w:r>
      <w:r w:rsidR="00500B59" w:rsidRPr="00FA0EED">
        <w:rPr>
          <w:rFonts w:cstheme="minorHAnsi"/>
          <w:sz w:val="24"/>
          <w:szCs w:val="24"/>
        </w:rPr>
        <w:t xml:space="preserve"> file is set to read the </w:t>
      </w:r>
      <w:r w:rsidR="00A80294">
        <w:rPr>
          <w:rFonts w:cstheme="minorHAnsi"/>
          <w:sz w:val="24"/>
          <w:szCs w:val="24"/>
        </w:rPr>
        <w:t xml:space="preserve">corresponding Python file </w:t>
      </w:r>
      <w:r w:rsidR="00500B59" w:rsidRPr="00FA0EED">
        <w:rPr>
          <w:rFonts w:cstheme="minorHAnsi"/>
          <w:sz w:val="24"/>
          <w:szCs w:val="24"/>
        </w:rPr>
        <w:t xml:space="preserve">in the same folder location.  </w:t>
      </w:r>
      <w:r w:rsidR="00F54CE7" w:rsidRPr="00FA0EED">
        <w:rPr>
          <w:rFonts w:cstheme="minorHAnsi"/>
          <w:sz w:val="24"/>
          <w:szCs w:val="24"/>
        </w:rPr>
        <w:t>The following screenshot shows the downloaded files as they appear in File Explorer:</w:t>
      </w:r>
    </w:p>
    <w:p w:rsidR="00C74352" w:rsidRDefault="00654C5D" w:rsidP="00FA0EE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15798" cy="60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Explor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04" w:rsidRDefault="00131604" w:rsidP="00F527A2">
      <w:pPr>
        <w:rPr>
          <w:rFonts w:cstheme="minorHAnsi"/>
          <w:b/>
          <w:sz w:val="32"/>
          <w:szCs w:val="32"/>
        </w:rPr>
      </w:pPr>
      <w:r w:rsidRPr="00131604">
        <w:rPr>
          <w:rFonts w:cstheme="minorHAnsi"/>
          <w:b/>
          <w:sz w:val="32"/>
          <w:szCs w:val="32"/>
        </w:rPr>
        <w:t>Running the Tool</w:t>
      </w:r>
    </w:p>
    <w:p w:rsidR="00E33A34" w:rsidRPr="00E33A34" w:rsidRDefault="00043B6D" w:rsidP="00F527A2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 w:rsidRPr="00131604">
        <w:rPr>
          <w:rFonts w:cstheme="minorHAnsi"/>
          <w:sz w:val="24"/>
          <w:szCs w:val="24"/>
        </w:rPr>
        <w:t xml:space="preserve">In </w:t>
      </w:r>
      <w:proofErr w:type="spellStart"/>
      <w:r w:rsidRPr="00131604">
        <w:rPr>
          <w:rFonts w:cstheme="minorHAnsi"/>
          <w:sz w:val="24"/>
          <w:szCs w:val="24"/>
        </w:rPr>
        <w:t>ArcCatalog</w:t>
      </w:r>
      <w:proofErr w:type="spellEnd"/>
      <w:r w:rsidRPr="00131604">
        <w:rPr>
          <w:rFonts w:cstheme="minorHAnsi"/>
          <w:sz w:val="24"/>
          <w:szCs w:val="24"/>
        </w:rPr>
        <w:t xml:space="preserve"> or the Catalog window of ArcMap, navigate </w:t>
      </w:r>
      <w:r w:rsidR="00F27AF6" w:rsidRPr="00131604">
        <w:rPr>
          <w:rFonts w:cstheme="minorHAnsi"/>
          <w:sz w:val="24"/>
          <w:szCs w:val="24"/>
        </w:rPr>
        <w:t xml:space="preserve">to </w:t>
      </w:r>
      <w:r w:rsidR="008E12D7">
        <w:rPr>
          <w:rFonts w:cstheme="minorHAnsi"/>
          <w:sz w:val="24"/>
          <w:szCs w:val="24"/>
        </w:rPr>
        <w:t>the location of the downloaded .</w:t>
      </w:r>
      <w:proofErr w:type="spellStart"/>
      <w:r w:rsidR="008E12D7">
        <w:rPr>
          <w:rFonts w:cstheme="minorHAnsi"/>
          <w:sz w:val="24"/>
          <w:szCs w:val="24"/>
        </w:rPr>
        <w:t>tbx</w:t>
      </w:r>
      <w:proofErr w:type="spellEnd"/>
      <w:r w:rsidR="008E12D7">
        <w:rPr>
          <w:rFonts w:cstheme="minorHAnsi"/>
          <w:sz w:val="24"/>
          <w:szCs w:val="24"/>
        </w:rPr>
        <w:t xml:space="preserve"> and .</w:t>
      </w:r>
      <w:proofErr w:type="spellStart"/>
      <w:r w:rsidR="008E12D7">
        <w:rPr>
          <w:rFonts w:cstheme="minorHAnsi"/>
          <w:sz w:val="24"/>
          <w:szCs w:val="24"/>
        </w:rPr>
        <w:t>py</w:t>
      </w:r>
      <w:proofErr w:type="spellEnd"/>
      <w:r w:rsidR="008E12D7">
        <w:rPr>
          <w:rFonts w:cstheme="minorHAnsi"/>
          <w:sz w:val="24"/>
          <w:szCs w:val="24"/>
        </w:rPr>
        <w:t xml:space="preserve"> files</w:t>
      </w:r>
      <w:r w:rsidR="00F27AF6" w:rsidRPr="00131604">
        <w:rPr>
          <w:rFonts w:cstheme="minorHAnsi"/>
          <w:sz w:val="24"/>
          <w:szCs w:val="24"/>
        </w:rPr>
        <w:t>.  Please note</w:t>
      </w:r>
      <w:r w:rsidR="00DD5FD6">
        <w:rPr>
          <w:rFonts w:cstheme="minorHAnsi"/>
          <w:sz w:val="24"/>
          <w:szCs w:val="24"/>
        </w:rPr>
        <w:t xml:space="preserve"> that</w:t>
      </w:r>
      <w:r w:rsidR="00F27AF6" w:rsidRPr="00131604">
        <w:rPr>
          <w:rFonts w:cstheme="minorHAnsi"/>
          <w:sz w:val="24"/>
          <w:szCs w:val="24"/>
        </w:rPr>
        <w:t xml:space="preserve"> the .</w:t>
      </w:r>
      <w:proofErr w:type="spellStart"/>
      <w:r w:rsidR="00F27AF6" w:rsidRPr="00131604">
        <w:rPr>
          <w:rFonts w:cstheme="minorHAnsi"/>
          <w:sz w:val="24"/>
          <w:szCs w:val="24"/>
        </w:rPr>
        <w:t>py</w:t>
      </w:r>
      <w:proofErr w:type="spellEnd"/>
      <w:r w:rsidR="00F27AF6" w:rsidRPr="00131604">
        <w:rPr>
          <w:rFonts w:cstheme="minorHAnsi"/>
          <w:sz w:val="24"/>
          <w:szCs w:val="24"/>
        </w:rPr>
        <w:t xml:space="preserve"> file will not be visible in Catalog </w:t>
      </w:r>
      <w:r w:rsidR="00F27AF6" w:rsidRPr="00131604">
        <w:rPr>
          <w:rFonts w:cstheme="minorHAnsi"/>
          <w:sz w:val="24"/>
          <w:szCs w:val="24"/>
        </w:rPr>
        <w:lastRenderedPageBreak/>
        <w:t>but the .</w:t>
      </w:r>
      <w:proofErr w:type="spellStart"/>
      <w:r w:rsidR="00F27AF6" w:rsidRPr="00131604">
        <w:rPr>
          <w:rFonts w:cstheme="minorHAnsi"/>
          <w:sz w:val="24"/>
          <w:szCs w:val="24"/>
        </w:rPr>
        <w:t>tbx</w:t>
      </w:r>
      <w:proofErr w:type="spellEnd"/>
      <w:r w:rsidR="00F27AF6" w:rsidRPr="00131604">
        <w:rPr>
          <w:rFonts w:cstheme="minorHAnsi"/>
          <w:sz w:val="24"/>
          <w:szCs w:val="24"/>
        </w:rPr>
        <w:t xml:space="preserve"> file will be expandable showing the interf</w:t>
      </w:r>
      <w:r w:rsidR="00A42C67">
        <w:rPr>
          <w:rFonts w:cstheme="minorHAnsi"/>
          <w:sz w:val="24"/>
          <w:szCs w:val="24"/>
        </w:rPr>
        <w:t>ace of the tool.  The Catalog view of the tool is shown below</w:t>
      </w:r>
      <w:r w:rsidR="00F25C96">
        <w:rPr>
          <w:rFonts w:cstheme="minorHAnsi"/>
          <w:sz w:val="24"/>
          <w:szCs w:val="24"/>
        </w:rPr>
        <w:t>:</w:t>
      </w:r>
    </w:p>
    <w:p w:rsidR="004F16B0" w:rsidRDefault="004E5D46" w:rsidP="004F16B0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1448002" cy="3524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B0" w:rsidRPr="004F16B0" w:rsidRDefault="004F16B0" w:rsidP="004F16B0">
      <w:pPr>
        <w:pStyle w:val="ListParagraph"/>
        <w:rPr>
          <w:rFonts w:cstheme="minorHAnsi"/>
          <w:b/>
          <w:sz w:val="32"/>
          <w:szCs w:val="32"/>
        </w:rPr>
      </w:pPr>
    </w:p>
    <w:p w:rsidR="001D734B" w:rsidRDefault="000E116D" w:rsidP="00F527A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B45DC">
        <w:rPr>
          <w:rFonts w:cstheme="minorHAnsi"/>
          <w:sz w:val="24"/>
          <w:szCs w:val="24"/>
        </w:rPr>
        <w:t xml:space="preserve">Open the Export to XLSX tool </w:t>
      </w:r>
      <w:r w:rsidR="00486EE6" w:rsidRPr="004B45DC">
        <w:rPr>
          <w:rFonts w:cstheme="minorHAnsi"/>
          <w:sz w:val="24"/>
          <w:szCs w:val="24"/>
        </w:rPr>
        <w:t>(under the .</w:t>
      </w:r>
      <w:proofErr w:type="spellStart"/>
      <w:r w:rsidR="00486EE6" w:rsidRPr="004B45DC">
        <w:rPr>
          <w:rFonts w:cstheme="minorHAnsi"/>
          <w:sz w:val="24"/>
          <w:szCs w:val="24"/>
        </w:rPr>
        <w:t>tbx</w:t>
      </w:r>
      <w:proofErr w:type="spellEnd"/>
      <w:r w:rsidR="00486EE6" w:rsidRPr="004B45DC">
        <w:rPr>
          <w:rFonts w:cstheme="minorHAnsi"/>
          <w:sz w:val="24"/>
          <w:szCs w:val="24"/>
        </w:rPr>
        <w:t xml:space="preserve"> file) by either double clicking or right-clicking</w:t>
      </w:r>
      <w:r w:rsidR="00A42C67">
        <w:rPr>
          <w:rFonts w:cstheme="minorHAnsi"/>
          <w:sz w:val="24"/>
          <w:szCs w:val="24"/>
        </w:rPr>
        <w:t xml:space="preserve"> the tool</w:t>
      </w:r>
      <w:r w:rsidR="00486EE6" w:rsidRPr="004B45DC">
        <w:rPr>
          <w:rFonts w:cstheme="minorHAnsi"/>
          <w:sz w:val="24"/>
          <w:szCs w:val="24"/>
        </w:rPr>
        <w:t xml:space="preserve"> and choosing Open</w:t>
      </w:r>
      <w:r w:rsidR="004249F9" w:rsidRPr="004B45DC">
        <w:rPr>
          <w:rFonts w:cstheme="minorHAnsi"/>
          <w:sz w:val="24"/>
          <w:szCs w:val="24"/>
        </w:rPr>
        <w:t xml:space="preserve">.  The main user interface should open allowing input of </w:t>
      </w:r>
      <w:r w:rsidR="007723C2" w:rsidRPr="004B45DC">
        <w:rPr>
          <w:rFonts w:cstheme="minorHAnsi"/>
          <w:sz w:val="24"/>
          <w:szCs w:val="24"/>
        </w:rPr>
        <w:t>tool parameters.  If the user interface does not open, the path to th</w:t>
      </w:r>
      <w:r w:rsidR="00DF692C">
        <w:rPr>
          <w:rFonts w:cstheme="minorHAnsi"/>
          <w:sz w:val="24"/>
          <w:szCs w:val="24"/>
        </w:rPr>
        <w:t>e .</w:t>
      </w:r>
      <w:proofErr w:type="spellStart"/>
      <w:r w:rsidR="00DF692C">
        <w:rPr>
          <w:rFonts w:cstheme="minorHAnsi"/>
          <w:sz w:val="24"/>
          <w:szCs w:val="24"/>
        </w:rPr>
        <w:t>py</w:t>
      </w:r>
      <w:proofErr w:type="spellEnd"/>
      <w:r w:rsidR="00DF692C">
        <w:rPr>
          <w:rFonts w:cstheme="minorHAnsi"/>
          <w:sz w:val="24"/>
          <w:szCs w:val="24"/>
        </w:rPr>
        <w:t xml:space="preserve"> file will need to be set to its correct location</w:t>
      </w:r>
      <w:r w:rsidR="007723C2" w:rsidRPr="004B45DC">
        <w:rPr>
          <w:rFonts w:cstheme="minorHAnsi"/>
          <w:sz w:val="24"/>
          <w:szCs w:val="24"/>
        </w:rPr>
        <w:t xml:space="preserve">.  This can be accomplished by </w:t>
      </w:r>
      <w:r w:rsidR="009C37CE" w:rsidRPr="004B45DC">
        <w:rPr>
          <w:rFonts w:cstheme="minorHAnsi"/>
          <w:sz w:val="24"/>
          <w:szCs w:val="24"/>
        </w:rPr>
        <w:t>right-clicking t</w:t>
      </w:r>
      <w:r w:rsidR="00A42C67">
        <w:rPr>
          <w:rFonts w:cstheme="minorHAnsi"/>
          <w:sz w:val="24"/>
          <w:szCs w:val="24"/>
        </w:rPr>
        <w:t xml:space="preserve">he </w:t>
      </w:r>
      <w:r w:rsidR="009C37CE" w:rsidRPr="004B45DC">
        <w:rPr>
          <w:rFonts w:cstheme="minorHAnsi"/>
          <w:sz w:val="24"/>
          <w:szCs w:val="24"/>
        </w:rPr>
        <w:t>tool</w:t>
      </w:r>
      <w:r w:rsidR="00A42C67">
        <w:rPr>
          <w:rFonts w:cstheme="minorHAnsi"/>
          <w:sz w:val="24"/>
          <w:szCs w:val="24"/>
        </w:rPr>
        <w:t xml:space="preserve"> in Catalog and selecting P</w:t>
      </w:r>
      <w:r w:rsidR="00FF6D09">
        <w:rPr>
          <w:rFonts w:cstheme="minorHAnsi"/>
          <w:sz w:val="24"/>
          <w:szCs w:val="24"/>
        </w:rPr>
        <w:t xml:space="preserve">roperties.  Choose the Source tab and enter the correct path to the </w:t>
      </w:r>
      <w:r w:rsidR="00FF6D09" w:rsidRPr="00FA0EED">
        <w:rPr>
          <w:rFonts w:cstheme="minorHAnsi"/>
          <w:sz w:val="24"/>
          <w:szCs w:val="24"/>
        </w:rPr>
        <w:t>ExportToXLSX.py file</w:t>
      </w:r>
      <w:r w:rsidR="00464F90">
        <w:rPr>
          <w:rFonts w:cstheme="minorHAnsi"/>
          <w:sz w:val="24"/>
          <w:szCs w:val="24"/>
        </w:rPr>
        <w:t xml:space="preserve"> as shown in the below screenshot</w:t>
      </w:r>
      <w:r w:rsidR="00FF6D09">
        <w:rPr>
          <w:rFonts w:cstheme="minorHAnsi"/>
          <w:sz w:val="24"/>
          <w:szCs w:val="24"/>
        </w:rPr>
        <w:t xml:space="preserve">.  </w:t>
      </w:r>
    </w:p>
    <w:p w:rsidR="00431ABD" w:rsidRPr="004B45DC" w:rsidRDefault="00431ABD" w:rsidP="00431AB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43275" cy="4410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50" cy="44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C7" w:rsidRDefault="00F32BC7" w:rsidP="00F527A2">
      <w:pPr>
        <w:rPr>
          <w:rFonts w:cstheme="minorHAnsi"/>
          <w:sz w:val="24"/>
          <w:szCs w:val="24"/>
        </w:rPr>
      </w:pPr>
    </w:p>
    <w:p w:rsidR="00777808" w:rsidRDefault="00777808" w:rsidP="00777808">
      <w:pPr>
        <w:pStyle w:val="ListParagraph"/>
        <w:rPr>
          <w:rFonts w:cstheme="minorHAnsi"/>
          <w:sz w:val="24"/>
          <w:szCs w:val="24"/>
        </w:rPr>
      </w:pPr>
    </w:p>
    <w:p w:rsidR="00777808" w:rsidRDefault="00777808" w:rsidP="00777808">
      <w:pPr>
        <w:pStyle w:val="ListParagraph"/>
        <w:rPr>
          <w:rFonts w:cstheme="minorHAnsi"/>
          <w:sz w:val="24"/>
          <w:szCs w:val="24"/>
        </w:rPr>
      </w:pPr>
    </w:p>
    <w:p w:rsidR="00777808" w:rsidRDefault="00777808" w:rsidP="00777808">
      <w:pPr>
        <w:pStyle w:val="ListParagraph"/>
        <w:rPr>
          <w:rFonts w:cstheme="minorHAnsi"/>
          <w:sz w:val="24"/>
          <w:szCs w:val="24"/>
        </w:rPr>
      </w:pPr>
    </w:p>
    <w:p w:rsidR="00777808" w:rsidRDefault="00777808" w:rsidP="00777808">
      <w:pPr>
        <w:pStyle w:val="ListParagraph"/>
        <w:rPr>
          <w:rFonts w:cstheme="minorHAnsi"/>
          <w:sz w:val="24"/>
          <w:szCs w:val="24"/>
        </w:rPr>
      </w:pPr>
    </w:p>
    <w:p w:rsidR="00777808" w:rsidRPr="00777808" w:rsidRDefault="00777808" w:rsidP="00777808">
      <w:pPr>
        <w:pStyle w:val="ListParagraph"/>
        <w:rPr>
          <w:rFonts w:cstheme="minorHAnsi"/>
          <w:sz w:val="24"/>
          <w:szCs w:val="24"/>
        </w:rPr>
      </w:pPr>
    </w:p>
    <w:p w:rsidR="00080226" w:rsidRDefault="004F16B0" w:rsidP="00464F9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Enter required tool parameters as shown in the following screenshot.  </w:t>
      </w:r>
    </w:p>
    <w:p w:rsidR="007919CB" w:rsidRPr="00860F09" w:rsidRDefault="00E553D0" w:rsidP="00860F0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541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ED" w:rsidRPr="00F71F94" w:rsidRDefault="00900AED" w:rsidP="00F527A2">
      <w:pPr>
        <w:rPr>
          <w:rFonts w:cstheme="minorHAnsi"/>
          <w:b/>
          <w:sz w:val="32"/>
          <w:szCs w:val="32"/>
        </w:rPr>
      </w:pPr>
      <w:r w:rsidRPr="00F71F94">
        <w:rPr>
          <w:rFonts w:cstheme="minorHAnsi"/>
          <w:b/>
          <w:sz w:val="32"/>
          <w:szCs w:val="32"/>
        </w:rPr>
        <w:t>Parameter Descriptions</w:t>
      </w:r>
    </w:p>
    <w:p w:rsidR="004A36DE" w:rsidRPr="00A222F7" w:rsidRDefault="00286963" w:rsidP="00F527A2">
      <w:pPr>
        <w:rPr>
          <w:rFonts w:cstheme="minorHAnsi"/>
          <w:sz w:val="24"/>
          <w:szCs w:val="24"/>
        </w:rPr>
      </w:pPr>
      <w:r w:rsidRPr="00A07441">
        <w:rPr>
          <w:rFonts w:cstheme="minorHAnsi"/>
          <w:b/>
          <w:sz w:val="24"/>
          <w:szCs w:val="24"/>
        </w:rPr>
        <w:t>Input Layer or Table</w:t>
      </w:r>
      <w:r w:rsidR="004A36DE">
        <w:rPr>
          <w:rFonts w:cstheme="minorHAnsi"/>
          <w:b/>
          <w:sz w:val="24"/>
          <w:szCs w:val="24"/>
        </w:rPr>
        <w:t xml:space="preserve">: </w:t>
      </w:r>
      <w:r w:rsidR="00A222F7">
        <w:rPr>
          <w:rFonts w:cstheme="minorHAnsi"/>
          <w:sz w:val="24"/>
          <w:szCs w:val="24"/>
        </w:rPr>
        <w:t>Almost any data type tha</w:t>
      </w:r>
      <w:r w:rsidR="009938DF">
        <w:rPr>
          <w:rFonts w:cstheme="minorHAnsi"/>
          <w:sz w:val="24"/>
          <w:szCs w:val="24"/>
        </w:rPr>
        <w:t xml:space="preserve">t can display an attribute table in ArcMap or </w:t>
      </w:r>
      <w:proofErr w:type="spellStart"/>
      <w:r w:rsidR="009938DF">
        <w:rPr>
          <w:rFonts w:cstheme="minorHAnsi"/>
          <w:sz w:val="24"/>
          <w:szCs w:val="24"/>
        </w:rPr>
        <w:t>ArcCatalog</w:t>
      </w:r>
      <w:proofErr w:type="spellEnd"/>
      <w:r w:rsidR="009938DF">
        <w:rPr>
          <w:rFonts w:cstheme="minorHAnsi"/>
          <w:sz w:val="24"/>
          <w:szCs w:val="24"/>
        </w:rPr>
        <w:t xml:space="preserve"> may be used as input into the tool.  </w:t>
      </w:r>
    </w:p>
    <w:p w:rsidR="00316245" w:rsidRPr="00F71F94" w:rsidRDefault="00A07441" w:rsidP="00F527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 XLSX File</w:t>
      </w:r>
      <w:r w:rsidR="00F71F94">
        <w:rPr>
          <w:rFonts w:cstheme="minorHAnsi"/>
          <w:b/>
          <w:sz w:val="24"/>
          <w:szCs w:val="24"/>
        </w:rPr>
        <w:t xml:space="preserve">: </w:t>
      </w:r>
      <w:r w:rsidR="007871DA">
        <w:rPr>
          <w:rFonts w:cstheme="minorHAnsi"/>
          <w:sz w:val="24"/>
          <w:szCs w:val="24"/>
        </w:rPr>
        <w:t xml:space="preserve">The name and location of the output XLSX file to be created.  This parameter </w:t>
      </w:r>
      <w:r w:rsidR="00BE0C13">
        <w:rPr>
          <w:rFonts w:cstheme="minorHAnsi"/>
          <w:sz w:val="24"/>
          <w:szCs w:val="24"/>
        </w:rPr>
        <w:t>will automatically populate</w:t>
      </w:r>
      <w:r w:rsidR="005A2CC2">
        <w:rPr>
          <w:rFonts w:cstheme="minorHAnsi"/>
          <w:sz w:val="24"/>
          <w:szCs w:val="24"/>
        </w:rPr>
        <w:t xml:space="preserve"> to the same folder location as the Input Layer or Table parameter</w:t>
      </w:r>
      <w:r w:rsidR="00500860">
        <w:rPr>
          <w:rFonts w:cstheme="minorHAnsi"/>
          <w:sz w:val="24"/>
          <w:szCs w:val="24"/>
        </w:rPr>
        <w:t xml:space="preserve"> above</w:t>
      </w:r>
      <w:r w:rsidR="005A2CC2">
        <w:rPr>
          <w:rFonts w:cstheme="minorHAnsi"/>
          <w:sz w:val="24"/>
          <w:szCs w:val="24"/>
        </w:rPr>
        <w:t>.  The name of the XLSX file will be the same name as the Input</w:t>
      </w:r>
      <w:r w:rsidR="00777808">
        <w:rPr>
          <w:rFonts w:cstheme="minorHAnsi"/>
          <w:sz w:val="24"/>
          <w:szCs w:val="24"/>
        </w:rPr>
        <w:t xml:space="preserve"> Layer or Table</w:t>
      </w:r>
      <w:r w:rsidR="005A2CC2">
        <w:rPr>
          <w:rFonts w:cstheme="minorHAnsi"/>
          <w:sz w:val="24"/>
          <w:szCs w:val="24"/>
        </w:rPr>
        <w:t xml:space="preserve"> by default.  Both the output folder location and the XLSX </w:t>
      </w:r>
      <w:r w:rsidR="00EE14EA">
        <w:rPr>
          <w:rFonts w:cstheme="minorHAnsi"/>
          <w:sz w:val="24"/>
          <w:szCs w:val="24"/>
        </w:rPr>
        <w:t xml:space="preserve">file name may be modified as necessary.  </w:t>
      </w:r>
    </w:p>
    <w:p w:rsidR="007438AC" w:rsidRPr="00632354" w:rsidRDefault="00A07441" w:rsidP="00D857F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 field alias as column header</w:t>
      </w:r>
      <w:r w:rsidR="00632354">
        <w:rPr>
          <w:rFonts w:cstheme="minorHAnsi"/>
          <w:b/>
          <w:sz w:val="24"/>
          <w:szCs w:val="24"/>
        </w:rPr>
        <w:t xml:space="preserve">:  </w:t>
      </w:r>
      <w:r w:rsidR="00632354">
        <w:rPr>
          <w:rFonts w:cstheme="minorHAnsi"/>
          <w:sz w:val="24"/>
          <w:szCs w:val="24"/>
        </w:rPr>
        <w:t>If field aliases are included in the input Layer or Table, the output XLSX file will use those values as column headers</w:t>
      </w:r>
      <w:r w:rsidR="00B81B46">
        <w:rPr>
          <w:rFonts w:cstheme="minorHAnsi"/>
          <w:sz w:val="24"/>
          <w:szCs w:val="24"/>
        </w:rPr>
        <w:t xml:space="preserve"> when checked</w:t>
      </w:r>
      <w:r w:rsidR="00632354">
        <w:rPr>
          <w:rFonts w:cstheme="minorHAnsi"/>
          <w:sz w:val="24"/>
          <w:szCs w:val="24"/>
        </w:rPr>
        <w:t xml:space="preserve">.  </w:t>
      </w:r>
    </w:p>
    <w:p w:rsidR="00A07441" w:rsidRPr="004004EC" w:rsidRDefault="00A07441" w:rsidP="00D857F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 domain and subtype description</w:t>
      </w:r>
      <w:r w:rsidR="004004EC">
        <w:rPr>
          <w:rFonts w:cstheme="minorHAnsi"/>
          <w:b/>
          <w:sz w:val="24"/>
          <w:szCs w:val="24"/>
        </w:rPr>
        <w:t xml:space="preserve">: </w:t>
      </w:r>
      <w:r w:rsidR="004004EC">
        <w:rPr>
          <w:rFonts w:cstheme="minorHAnsi"/>
          <w:sz w:val="24"/>
          <w:szCs w:val="24"/>
        </w:rPr>
        <w:t xml:space="preserve">If domains </w:t>
      </w:r>
      <w:r w:rsidR="00B86F4A">
        <w:rPr>
          <w:rFonts w:cstheme="minorHAnsi"/>
          <w:sz w:val="24"/>
          <w:szCs w:val="24"/>
        </w:rPr>
        <w:t xml:space="preserve">and or subtypes are included in Input Layer or Table, the output XLSX file will include the corresponding descriptions.  If this box left unchecked, the codes will be written instead.  </w:t>
      </w:r>
    </w:p>
    <w:p w:rsidR="00A07441" w:rsidRPr="004A1E1F" w:rsidRDefault="00A07441" w:rsidP="00D857F9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Fields (optional)</w:t>
      </w:r>
      <w:r w:rsidR="004A1E1F">
        <w:rPr>
          <w:rFonts w:cstheme="minorHAnsi"/>
          <w:b/>
          <w:sz w:val="24"/>
          <w:szCs w:val="24"/>
        </w:rPr>
        <w:t xml:space="preserve">: </w:t>
      </w:r>
      <w:r w:rsidR="004A1E1F">
        <w:rPr>
          <w:rFonts w:cstheme="minorHAnsi"/>
          <w:sz w:val="24"/>
          <w:szCs w:val="24"/>
        </w:rPr>
        <w:t>If n</w:t>
      </w:r>
      <w:r w:rsidR="00B81B46">
        <w:rPr>
          <w:rFonts w:cstheme="minorHAnsi"/>
          <w:sz w:val="24"/>
          <w:szCs w:val="24"/>
        </w:rPr>
        <w:t>o fields are checked within the Fields</w:t>
      </w:r>
      <w:r w:rsidR="004A1E1F">
        <w:rPr>
          <w:rFonts w:cstheme="minorHAnsi"/>
          <w:sz w:val="24"/>
          <w:szCs w:val="24"/>
        </w:rPr>
        <w:t xml:space="preserve"> box, the output XLSX file will include all fields contained in the Input Layer or Table.  If a field(s) is checked, only those field checked will be written </w:t>
      </w:r>
      <w:r w:rsidR="001B1C86">
        <w:rPr>
          <w:rFonts w:cstheme="minorHAnsi"/>
          <w:sz w:val="24"/>
          <w:szCs w:val="24"/>
        </w:rPr>
        <w:t>to the output XLSX file.  P</w:t>
      </w:r>
      <w:r w:rsidR="00F934CC">
        <w:rPr>
          <w:rFonts w:cstheme="minorHAnsi"/>
          <w:sz w:val="24"/>
          <w:szCs w:val="24"/>
        </w:rPr>
        <w:t>lease note that if you are using this tool in ArcMap</w:t>
      </w:r>
      <w:r w:rsidR="001B1C86">
        <w:rPr>
          <w:rFonts w:cstheme="minorHAnsi"/>
          <w:sz w:val="24"/>
          <w:szCs w:val="24"/>
        </w:rPr>
        <w:t xml:space="preserve"> and </w:t>
      </w:r>
      <w:r w:rsidR="001B1C86">
        <w:rPr>
          <w:rFonts w:cstheme="minorHAnsi"/>
          <w:sz w:val="24"/>
          <w:szCs w:val="24"/>
        </w:rPr>
        <w:lastRenderedPageBreak/>
        <w:t xml:space="preserve">have fields turned </w:t>
      </w:r>
      <w:r w:rsidR="00F934CC">
        <w:rPr>
          <w:rFonts w:cstheme="minorHAnsi"/>
          <w:sz w:val="24"/>
          <w:szCs w:val="24"/>
        </w:rPr>
        <w:t>off in the layer properties,</w:t>
      </w:r>
      <w:r w:rsidR="001B1C86">
        <w:rPr>
          <w:rFonts w:cstheme="minorHAnsi"/>
          <w:sz w:val="24"/>
          <w:szCs w:val="24"/>
        </w:rPr>
        <w:t xml:space="preserve"> only those visible fields will be shown in the Fields box.</w:t>
      </w:r>
    </w:p>
    <w:p w:rsidR="008817DF" w:rsidRPr="00B321ED" w:rsidRDefault="00A07441" w:rsidP="008817D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Sheet Name (optional)</w:t>
      </w:r>
      <w:r w:rsidR="00603148">
        <w:rPr>
          <w:rFonts w:cstheme="minorHAnsi"/>
          <w:b/>
          <w:sz w:val="24"/>
          <w:szCs w:val="24"/>
        </w:rPr>
        <w:t xml:space="preserve">: </w:t>
      </w:r>
      <w:r w:rsidR="00603148">
        <w:rPr>
          <w:rFonts w:cstheme="minorHAnsi"/>
          <w:sz w:val="24"/>
          <w:szCs w:val="24"/>
        </w:rPr>
        <w:t>The name of the sheet</w:t>
      </w:r>
      <w:r w:rsidR="00FA41A4">
        <w:rPr>
          <w:rFonts w:cstheme="minorHAnsi"/>
          <w:sz w:val="24"/>
          <w:szCs w:val="24"/>
        </w:rPr>
        <w:t xml:space="preserve"> containing the data in the</w:t>
      </w:r>
      <w:bookmarkStart w:id="0" w:name="_GoBack"/>
      <w:bookmarkEnd w:id="0"/>
      <w:r w:rsidR="00603148">
        <w:rPr>
          <w:rFonts w:cstheme="minorHAnsi"/>
          <w:sz w:val="24"/>
          <w:szCs w:val="24"/>
        </w:rPr>
        <w:t xml:space="preserve"> output XLSX </w:t>
      </w:r>
      <w:r w:rsidR="00FA41A4">
        <w:rPr>
          <w:rFonts w:cstheme="minorHAnsi"/>
          <w:sz w:val="24"/>
          <w:szCs w:val="24"/>
        </w:rPr>
        <w:t xml:space="preserve">file.  </w:t>
      </w:r>
      <w:r w:rsidR="00603148">
        <w:rPr>
          <w:rFonts w:cstheme="minorHAnsi"/>
          <w:sz w:val="24"/>
          <w:szCs w:val="24"/>
        </w:rPr>
        <w:t>If no na</w:t>
      </w:r>
      <w:r w:rsidR="00B231EC">
        <w:rPr>
          <w:rFonts w:cstheme="minorHAnsi"/>
          <w:sz w:val="24"/>
          <w:szCs w:val="24"/>
        </w:rPr>
        <w:t xml:space="preserve">me is specified, the name of the Input Layer or Table will be used by default.  </w:t>
      </w:r>
    </w:p>
    <w:p w:rsidR="00B321ED" w:rsidRDefault="00B321ED" w:rsidP="009230C8">
      <w:pPr>
        <w:rPr>
          <w:rFonts w:ascii="Futura Medium" w:hAnsi="Futura Medium" w:cs="Futura Medium"/>
          <w:b/>
        </w:rPr>
      </w:pPr>
    </w:p>
    <w:p w:rsidR="009230C8" w:rsidRPr="00B10096" w:rsidRDefault="009230C8" w:rsidP="009230C8">
      <w:pPr>
        <w:rPr>
          <w:rFonts w:ascii="Futura Medium" w:hAnsi="Futura Medium" w:cs="Futura Medium"/>
          <w:b/>
        </w:rPr>
      </w:pPr>
      <w:r w:rsidRPr="00B10096">
        <w:rPr>
          <w:rFonts w:ascii="Futura Medium" w:hAnsi="Futura Medium" w:cs="Futura Medium"/>
          <w:b/>
        </w:rPr>
        <w:t>Contact</w:t>
      </w:r>
    </w:p>
    <w:p w:rsidR="009230C8" w:rsidRPr="00010053" w:rsidRDefault="009230C8" w:rsidP="009230C8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>We would love to hear from you.</w:t>
      </w:r>
      <w:r>
        <w:rPr>
          <w:rFonts w:ascii="Futura Medium" w:hAnsi="Futura Medium" w:cs="Futura Medium"/>
          <w:sz w:val="20"/>
          <w:szCs w:val="20"/>
        </w:rPr>
        <w:t xml:space="preserve">  Please contact us anytime.  </w:t>
      </w:r>
    </w:p>
    <w:p w:rsidR="009230C8" w:rsidRDefault="00FA41A4" w:rsidP="009230C8">
      <w:pPr>
        <w:rPr>
          <w:rFonts w:ascii="Futura Medium" w:hAnsi="Futura Medium" w:cs="Futura Medium"/>
          <w:sz w:val="20"/>
          <w:szCs w:val="20"/>
        </w:rPr>
      </w:pPr>
      <w:hyperlink r:id="rId11" w:history="1">
        <w:r w:rsidR="009230C8" w:rsidRPr="006337D1">
          <w:rPr>
            <w:rStyle w:val="Hyperlink"/>
            <w:rFonts w:ascii="Futura Medium" w:hAnsi="Futura Medium" w:cs="Futura Medium"/>
            <w:sz w:val="20"/>
            <w:szCs w:val="20"/>
          </w:rPr>
          <w:t>justin@processor-gis.com</w:t>
        </w:r>
      </w:hyperlink>
    </w:p>
    <w:p w:rsidR="009230C8" w:rsidRDefault="00FA41A4" w:rsidP="009230C8">
      <w:pPr>
        <w:rPr>
          <w:rFonts w:ascii="Futura Medium" w:hAnsi="Futura Medium" w:cs="Futura Medium"/>
          <w:sz w:val="20"/>
          <w:szCs w:val="20"/>
        </w:rPr>
      </w:pPr>
      <w:hyperlink r:id="rId12" w:history="1">
        <w:r w:rsidR="009230C8" w:rsidRPr="00F23614">
          <w:rPr>
            <w:rStyle w:val="Hyperlink"/>
            <w:rFonts w:ascii="Futura Medium" w:hAnsi="Futura Medium" w:cs="Futura Medium"/>
            <w:sz w:val="20"/>
            <w:szCs w:val="20"/>
          </w:rPr>
          <w:t>https://twitter.com/Processor_GIS</w:t>
        </w:r>
      </w:hyperlink>
    </w:p>
    <w:p w:rsidR="004A36DE" w:rsidRPr="004A36DE" w:rsidRDefault="00FA41A4" w:rsidP="009230C8">
      <w:pPr>
        <w:rPr>
          <w:rFonts w:ascii="Futura Medium" w:hAnsi="Futura Medium" w:cs="Futura Medium"/>
          <w:color w:val="0563C1" w:themeColor="hyperlink"/>
          <w:sz w:val="20"/>
          <w:szCs w:val="20"/>
          <w:u w:val="single"/>
        </w:rPr>
      </w:pPr>
      <w:hyperlink r:id="rId13" w:history="1">
        <w:r w:rsidR="009230C8" w:rsidRPr="00F23614">
          <w:rPr>
            <w:rStyle w:val="Hyperlink"/>
            <w:rFonts w:ascii="Futura Medium" w:hAnsi="Futura Medium" w:cs="Futura Medium"/>
            <w:sz w:val="20"/>
            <w:szCs w:val="20"/>
          </w:rPr>
          <w:t>https://github.com/processor-gis</w:t>
        </w:r>
      </w:hyperlink>
    </w:p>
    <w:p w:rsidR="009230C8" w:rsidRPr="00010053" w:rsidRDefault="009230C8" w:rsidP="009230C8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>785-979-8554 (cell)</w:t>
      </w:r>
    </w:p>
    <w:p w:rsidR="009230C8" w:rsidRPr="00010053" w:rsidRDefault="009230C8" w:rsidP="009230C8">
      <w:pPr>
        <w:rPr>
          <w:rFonts w:ascii="Futura Medium" w:hAnsi="Futura Medium" w:cs="Futura Medium"/>
          <w:sz w:val="20"/>
          <w:szCs w:val="20"/>
        </w:rPr>
      </w:pPr>
      <w:r w:rsidRPr="00010053">
        <w:rPr>
          <w:rFonts w:ascii="Futura Medium" w:hAnsi="Futura Medium" w:cs="Futura Medium"/>
          <w:sz w:val="20"/>
          <w:szCs w:val="20"/>
        </w:rPr>
        <w:t>913-725-0021 (fiber line)</w:t>
      </w:r>
    </w:p>
    <w:p w:rsidR="008817DF" w:rsidRPr="00736B13" w:rsidRDefault="008817DF" w:rsidP="008817DF">
      <w:pPr>
        <w:rPr>
          <w:sz w:val="24"/>
          <w:szCs w:val="24"/>
        </w:rPr>
      </w:pPr>
    </w:p>
    <w:sectPr w:rsidR="008817DF" w:rsidRPr="0073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rminator Real NFI">
    <w:panose1 w:val="00000000000000000000"/>
    <w:charset w:val="00"/>
    <w:family w:val="auto"/>
    <w:pitch w:val="variable"/>
    <w:sig w:usb0="80000003" w:usb1="10000002" w:usb2="00000000" w:usb3="00000000" w:csb0="80000001" w:csb1="00000000"/>
  </w:font>
  <w:font w:name="Futura Medium">
    <w:altName w:val="Arial"/>
    <w:charset w:val="00"/>
    <w:family w:val="auto"/>
    <w:pitch w:val="variable"/>
    <w:sig w:usb0="800000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0FA0"/>
    <w:multiLevelType w:val="hybridMultilevel"/>
    <w:tmpl w:val="41D6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CE2F9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C9"/>
    <w:multiLevelType w:val="hybridMultilevel"/>
    <w:tmpl w:val="DD5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5666"/>
    <w:multiLevelType w:val="hybridMultilevel"/>
    <w:tmpl w:val="91C0117A"/>
    <w:lvl w:ilvl="0" w:tplc="31CE2F9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E5588"/>
    <w:multiLevelType w:val="hybridMultilevel"/>
    <w:tmpl w:val="F1A635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522E0"/>
    <w:multiLevelType w:val="hybridMultilevel"/>
    <w:tmpl w:val="11DA31F2"/>
    <w:lvl w:ilvl="0" w:tplc="6A5CDF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CA0F7F"/>
    <w:multiLevelType w:val="hybridMultilevel"/>
    <w:tmpl w:val="E6DA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4D1"/>
    <w:multiLevelType w:val="hybridMultilevel"/>
    <w:tmpl w:val="6C3CC138"/>
    <w:lvl w:ilvl="0" w:tplc="300A78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2D5B"/>
    <w:multiLevelType w:val="hybridMultilevel"/>
    <w:tmpl w:val="B7A0E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A2"/>
    <w:rsid w:val="000132D0"/>
    <w:rsid w:val="00032C60"/>
    <w:rsid w:val="00035F83"/>
    <w:rsid w:val="0004356C"/>
    <w:rsid w:val="00043B6D"/>
    <w:rsid w:val="00060050"/>
    <w:rsid w:val="00060C90"/>
    <w:rsid w:val="00080226"/>
    <w:rsid w:val="00090478"/>
    <w:rsid w:val="000920CE"/>
    <w:rsid w:val="00094AF2"/>
    <w:rsid w:val="0009704E"/>
    <w:rsid w:val="000A1376"/>
    <w:rsid w:val="000A2960"/>
    <w:rsid w:val="000A7E4C"/>
    <w:rsid w:val="000B26E7"/>
    <w:rsid w:val="000B79D5"/>
    <w:rsid w:val="000C59EE"/>
    <w:rsid w:val="000E07C2"/>
    <w:rsid w:val="000E116D"/>
    <w:rsid w:val="000E3C43"/>
    <w:rsid w:val="000F2CF0"/>
    <w:rsid w:val="000F5962"/>
    <w:rsid w:val="00103861"/>
    <w:rsid w:val="00117471"/>
    <w:rsid w:val="00130A00"/>
    <w:rsid w:val="00131604"/>
    <w:rsid w:val="00155185"/>
    <w:rsid w:val="00156028"/>
    <w:rsid w:val="0016530F"/>
    <w:rsid w:val="00194120"/>
    <w:rsid w:val="001B1C86"/>
    <w:rsid w:val="001B21F7"/>
    <w:rsid w:val="001D734B"/>
    <w:rsid w:val="00200651"/>
    <w:rsid w:val="002027F5"/>
    <w:rsid w:val="0021014C"/>
    <w:rsid w:val="00225949"/>
    <w:rsid w:val="002569FE"/>
    <w:rsid w:val="00263482"/>
    <w:rsid w:val="002865C8"/>
    <w:rsid w:val="00286963"/>
    <w:rsid w:val="00292482"/>
    <w:rsid w:val="00293F80"/>
    <w:rsid w:val="002A41A6"/>
    <w:rsid w:val="002C19A4"/>
    <w:rsid w:val="002C7BB5"/>
    <w:rsid w:val="002F1833"/>
    <w:rsid w:val="003047F1"/>
    <w:rsid w:val="00306483"/>
    <w:rsid w:val="00313F5A"/>
    <w:rsid w:val="00316245"/>
    <w:rsid w:val="003225F8"/>
    <w:rsid w:val="00334624"/>
    <w:rsid w:val="003354A4"/>
    <w:rsid w:val="003449A0"/>
    <w:rsid w:val="003452DF"/>
    <w:rsid w:val="00360264"/>
    <w:rsid w:val="00364F39"/>
    <w:rsid w:val="00375C6F"/>
    <w:rsid w:val="00377F03"/>
    <w:rsid w:val="003921BA"/>
    <w:rsid w:val="00394AE0"/>
    <w:rsid w:val="003A5006"/>
    <w:rsid w:val="003A6CC5"/>
    <w:rsid w:val="003B5EF9"/>
    <w:rsid w:val="003D0B5C"/>
    <w:rsid w:val="003F2CBD"/>
    <w:rsid w:val="004004EC"/>
    <w:rsid w:val="00407655"/>
    <w:rsid w:val="0041211C"/>
    <w:rsid w:val="004249F9"/>
    <w:rsid w:val="00430673"/>
    <w:rsid w:val="00431ABD"/>
    <w:rsid w:val="00435EFE"/>
    <w:rsid w:val="00443426"/>
    <w:rsid w:val="004536CB"/>
    <w:rsid w:val="00454570"/>
    <w:rsid w:val="00464F90"/>
    <w:rsid w:val="00467491"/>
    <w:rsid w:val="00470DD4"/>
    <w:rsid w:val="004758DA"/>
    <w:rsid w:val="0048260D"/>
    <w:rsid w:val="00486EE6"/>
    <w:rsid w:val="004A0898"/>
    <w:rsid w:val="004A1E1F"/>
    <w:rsid w:val="004A36DE"/>
    <w:rsid w:val="004B45DC"/>
    <w:rsid w:val="004B66D3"/>
    <w:rsid w:val="004C53FE"/>
    <w:rsid w:val="004D3532"/>
    <w:rsid w:val="004D743B"/>
    <w:rsid w:val="004E1101"/>
    <w:rsid w:val="004E5D46"/>
    <w:rsid w:val="004F08E2"/>
    <w:rsid w:val="004F16B0"/>
    <w:rsid w:val="00500860"/>
    <w:rsid w:val="00500B59"/>
    <w:rsid w:val="00502376"/>
    <w:rsid w:val="005232A9"/>
    <w:rsid w:val="00525D49"/>
    <w:rsid w:val="005262CF"/>
    <w:rsid w:val="005315F5"/>
    <w:rsid w:val="00533212"/>
    <w:rsid w:val="005410B1"/>
    <w:rsid w:val="005412EE"/>
    <w:rsid w:val="00546AD7"/>
    <w:rsid w:val="00546D0B"/>
    <w:rsid w:val="005570CE"/>
    <w:rsid w:val="00560607"/>
    <w:rsid w:val="00562D6F"/>
    <w:rsid w:val="0057396A"/>
    <w:rsid w:val="005807FC"/>
    <w:rsid w:val="005808FC"/>
    <w:rsid w:val="00581565"/>
    <w:rsid w:val="00583094"/>
    <w:rsid w:val="00591D5D"/>
    <w:rsid w:val="00592D29"/>
    <w:rsid w:val="005A220A"/>
    <w:rsid w:val="005A2CC2"/>
    <w:rsid w:val="005A2F3D"/>
    <w:rsid w:val="005A3DED"/>
    <w:rsid w:val="005D76B8"/>
    <w:rsid w:val="005E5CF6"/>
    <w:rsid w:val="005F4F97"/>
    <w:rsid w:val="00603148"/>
    <w:rsid w:val="00610898"/>
    <w:rsid w:val="00616945"/>
    <w:rsid w:val="00631FCD"/>
    <w:rsid w:val="00632354"/>
    <w:rsid w:val="0063272A"/>
    <w:rsid w:val="00633996"/>
    <w:rsid w:val="0063778C"/>
    <w:rsid w:val="00654C5D"/>
    <w:rsid w:val="00655DCF"/>
    <w:rsid w:val="00670E81"/>
    <w:rsid w:val="00674EE8"/>
    <w:rsid w:val="006954F9"/>
    <w:rsid w:val="006B12A5"/>
    <w:rsid w:val="006B438C"/>
    <w:rsid w:val="006B595E"/>
    <w:rsid w:val="006B6546"/>
    <w:rsid w:val="006C71EA"/>
    <w:rsid w:val="006C79D1"/>
    <w:rsid w:val="006E0E74"/>
    <w:rsid w:val="006F7B33"/>
    <w:rsid w:val="007022D2"/>
    <w:rsid w:val="007038D6"/>
    <w:rsid w:val="007053F3"/>
    <w:rsid w:val="00715AC2"/>
    <w:rsid w:val="007247AA"/>
    <w:rsid w:val="00736B13"/>
    <w:rsid w:val="00737045"/>
    <w:rsid w:val="00737167"/>
    <w:rsid w:val="007438AC"/>
    <w:rsid w:val="00744972"/>
    <w:rsid w:val="00753441"/>
    <w:rsid w:val="00753FA5"/>
    <w:rsid w:val="007723C2"/>
    <w:rsid w:val="007728D2"/>
    <w:rsid w:val="00777808"/>
    <w:rsid w:val="007871DA"/>
    <w:rsid w:val="007919CB"/>
    <w:rsid w:val="007953E9"/>
    <w:rsid w:val="007B22B3"/>
    <w:rsid w:val="007C489B"/>
    <w:rsid w:val="007F4037"/>
    <w:rsid w:val="00812E30"/>
    <w:rsid w:val="00816E04"/>
    <w:rsid w:val="0082343D"/>
    <w:rsid w:val="0082574D"/>
    <w:rsid w:val="00826216"/>
    <w:rsid w:val="00831AA1"/>
    <w:rsid w:val="00831CF1"/>
    <w:rsid w:val="00840FB7"/>
    <w:rsid w:val="00842A9F"/>
    <w:rsid w:val="00855838"/>
    <w:rsid w:val="00860F09"/>
    <w:rsid w:val="0086119D"/>
    <w:rsid w:val="00870ACF"/>
    <w:rsid w:val="008817DF"/>
    <w:rsid w:val="00887C4E"/>
    <w:rsid w:val="00894F8B"/>
    <w:rsid w:val="008962B6"/>
    <w:rsid w:val="008A29AB"/>
    <w:rsid w:val="008A3E4E"/>
    <w:rsid w:val="008A514A"/>
    <w:rsid w:val="008C5EC2"/>
    <w:rsid w:val="008D11B0"/>
    <w:rsid w:val="008E12D7"/>
    <w:rsid w:val="008F7498"/>
    <w:rsid w:val="00900AED"/>
    <w:rsid w:val="009230C8"/>
    <w:rsid w:val="009253D7"/>
    <w:rsid w:val="00935AD8"/>
    <w:rsid w:val="00937F53"/>
    <w:rsid w:val="00940D4E"/>
    <w:rsid w:val="00944DEC"/>
    <w:rsid w:val="00984A73"/>
    <w:rsid w:val="009938DF"/>
    <w:rsid w:val="009A5EB7"/>
    <w:rsid w:val="009B2D58"/>
    <w:rsid w:val="009B4622"/>
    <w:rsid w:val="009B60FA"/>
    <w:rsid w:val="009B6539"/>
    <w:rsid w:val="009B6BF0"/>
    <w:rsid w:val="009C37CE"/>
    <w:rsid w:val="009C7FD9"/>
    <w:rsid w:val="00A0128C"/>
    <w:rsid w:val="00A03BAC"/>
    <w:rsid w:val="00A07441"/>
    <w:rsid w:val="00A222F7"/>
    <w:rsid w:val="00A22441"/>
    <w:rsid w:val="00A23702"/>
    <w:rsid w:val="00A254A6"/>
    <w:rsid w:val="00A330E5"/>
    <w:rsid w:val="00A42C67"/>
    <w:rsid w:val="00A70A80"/>
    <w:rsid w:val="00A80294"/>
    <w:rsid w:val="00A83ACD"/>
    <w:rsid w:val="00A94EBC"/>
    <w:rsid w:val="00AD60B3"/>
    <w:rsid w:val="00AE4480"/>
    <w:rsid w:val="00B02D4C"/>
    <w:rsid w:val="00B10096"/>
    <w:rsid w:val="00B15EAA"/>
    <w:rsid w:val="00B22F80"/>
    <w:rsid w:val="00B231EC"/>
    <w:rsid w:val="00B321ED"/>
    <w:rsid w:val="00B3221E"/>
    <w:rsid w:val="00B40600"/>
    <w:rsid w:val="00B70E08"/>
    <w:rsid w:val="00B72AD7"/>
    <w:rsid w:val="00B768B9"/>
    <w:rsid w:val="00B80498"/>
    <w:rsid w:val="00B81B46"/>
    <w:rsid w:val="00B86F4A"/>
    <w:rsid w:val="00BC5A8D"/>
    <w:rsid w:val="00BC7DF2"/>
    <w:rsid w:val="00BD4431"/>
    <w:rsid w:val="00BE0C13"/>
    <w:rsid w:val="00BE5897"/>
    <w:rsid w:val="00C21D0C"/>
    <w:rsid w:val="00C31C21"/>
    <w:rsid w:val="00C4437E"/>
    <w:rsid w:val="00C46DC6"/>
    <w:rsid w:val="00C74352"/>
    <w:rsid w:val="00C76269"/>
    <w:rsid w:val="00C91BA7"/>
    <w:rsid w:val="00CA60D0"/>
    <w:rsid w:val="00CB4ADD"/>
    <w:rsid w:val="00CC0445"/>
    <w:rsid w:val="00CD347C"/>
    <w:rsid w:val="00CE2B7A"/>
    <w:rsid w:val="00CF6820"/>
    <w:rsid w:val="00CF6ED9"/>
    <w:rsid w:val="00CF795B"/>
    <w:rsid w:val="00D052F5"/>
    <w:rsid w:val="00D12D67"/>
    <w:rsid w:val="00D146F9"/>
    <w:rsid w:val="00D50F68"/>
    <w:rsid w:val="00D66DF6"/>
    <w:rsid w:val="00D7276D"/>
    <w:rsid w:val="00D84C87"/>
    <w:rsid w:val="00D857F9"/>
    <w:rsid w:val="00DA661E"/>
    <w:rsid w:val="00DA77A0"/>
    <w:rsid w:val="00DB5607"/>
    <w:rsid w:val="00DC6701"/>
    <w:rsid w:val="00DD4D9D"/>
    <w:rsid w:val="00DD5FD6"/>
    <w:rsid w:val="00DF692C"/>
    <w:rsid w:val="00E060F6"/>
    <w:rsid w:val="00E142CD"/>
    <w:rsid w:val="00E21C46"/>
    <w:rsid w:val="00E23C4C"/>
    <w:rsid w:val="00E33A34"/>
    <w:rsid w:val="00E41DE6"/>
    <w:rsid w:val="00E50D4C"/>
    <w:rsid w:val="00E553D0"/>
    <w:rsid w:val="00E70102"/>
    <w:rsid w:val="00E76958"/>
    <w:rsid w:val="00E90E8E"/>
    <w:rsid w:val="00E926E4"/>
    <w:rsid w:val="00EA00CC"/>
    <w:rsid w:val="00EB30FA"/>
    <w:rsid w:val="00EB79CC"/>
    <w:rsid w:val="00EC6662"/>
    <w:rsid w:val="00ED0BCA"/>
    <w:rsid w:val="00ED36D0"/>
    <w:rsid w:val="00ED63BA"/>
    <w:rsid w:val="00EE14EA"/>
    <w:rsid w:val="00EE5D16"/>
    <w:rsid w:val="00EE63E1"/>
    <w:rsid w:val="00F12328"/>
    <w:rsid w:val="00F25C96"/>
    <w:rsid w:val="00F27AF6"/>
    <w:rsid w:val="00F30825"/>
    <w:rsid w:val="00F32BC7"/>
    <w:rsid w:val="00F42EBC"/>
    <w:rsid w:val="00F527A2"/>
    <w:rsid w:val="00F54CE7"/>
    <w:rsid w:val="00F602B0"/>
    <w:rsid w:val="00F71F94"/>
    <w:rsid w:val="00F84E32"/>
    <w:rsid w:val="00F932A0"/>
    <w:rsid w:val="00F934CC"/>
    <w:rsid w:val="00FA0EED"/>
    <w:rsid w:val="00FA41A4"/>
    <w:rsid w:val="00FD217F"/>
    <w:rsid w:val="00FD5B47"/>
    <w:rsid w:val="00FE5C3F"/>
    <w:rsid w:val="00FF1449"/>
    <w:rsid w:val="00FF5C40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0740"/>
  <w15:chartTrackingRefBased/>
  <w15:docId w15:val="{3A10951A-4DE3-4A24-8DBB-BBCF4AD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D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ocessor-gi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witter.com/Processor_G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ustin@processor-gi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616A-F4AD-4F6C-A373-72128B73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Westar Energy</dc:creator>
  <cp:keywords/>
  <dc:description/>
  <cp:lastModifiedBy>Justin Hawley</cp:lastModifiedBy>
  <cp:revision>388</cp:revision>
  <dcterms:created xsi:type="dcterms:W3CDTF">2016-08-24T19:27:00Z</dcterms:created>
  <dcterms:modified xsi:type="dcterms:W3CDTF">2017-04-27T01:03:00Z</dcterms:modified>
</cp:coreProperties>
</file>