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URPOnline | Laboratorio de ingeniería extrema</w:t>
      </w:r>
    </w:p>
    <w:p>
      <w:pPr>
        <w:pStyle w:val="Subtitle"/>
      </w:pPr>
      <w:r>
        <w:t>GUÍA AVANZADA INDEPENDIENTE • Sistemas distribuidos • Chaos Engineering • Evidencia reproducible</w:t>
      </w:r>
    </w:p>
    <w:p>
      <w:r>
        <w:rPr>
          <w:b w:val="0"/>
        </w:rPr>
        <w:t>Versión 1.0 • 10 de octubre de 2026</w:t>
      </w:r>
    </w:p>
    <w:p>
      <w:r>
        <w:rPr>
          <w:b w:val="0"/>
        </w:rPr>
        <w:t>Propósito: elevar URPOnline de una integración AWS de e-commerce a un desafío verificable de ingeniería de sistemas. Esta guía es adicional al laboratorio base; no presupone que las pruebas se hayan ejecutado.</w:t>
      </w:r>
    </w:p>
    <w:p>
      <w:pPr>
        <w:pStyle w:val="Heading1"/>
      </w:pPr>
      <w:r>
        <w:t>1. Enunciado del desafío</w:t>
      </w:r>
    </w:p>
    <w:p>
      <w:r>
        <w:rPr>
          <w:b w:val="0"/>
        </w:rPr>
        <w:t>URPOnline vende cursos y servicios digitales durante una campaña internacional de Cyber Monday. El negocio fija como metas de ensayo 20.000 compradores concurrentes y hasta 2.000 solicitudes/segundo. Estas cifras son cargas objetivo, NO capacidad demostrada. Debe impedir la sobreventa y doble confirmación, conservar la experiencia entre AZ, resistir degradaciones e incorporar observabilidad de extremo a extremo. Todas las pruebas destructivas se realizarán en una cuenta/entorno aislado y autorizado, sin pagos reales.</w:t>
      </w:r>
    </w:p>
    <w:p>
      <w:pPr>
        <w:pStyle w:val="Heading1"/>
      </w:pPr>
      <w:r>
        <w:t>2. Cómo se compara con MIT y qué se quiere superar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Referencia contrastable</w:t>
            </w:r>
          </w:p>
        </w:tc>
        <w:tc>
          <w:tcPr>
            <w:tcW w:type="dxa" w:w="2880"/>
          </w:tcPr>
          <w:p>
            <w:r>
              <w:t>Exigencia pública</w:t>
            </w:r>
          </w:p>
        </w:tc>
        <w:tc>
          <w:tcPr>
            <w:tcW w:type="dxa" w:w="2880"/>
          </w:tcPr>
          <w:p>
            <w:r>
              <w:t>Aporte adicional exigido a URPOnline</w:t>
            </w:r>
          </w:p>
        </w:tc>
      </w:tr>
      <w:tr>
        <w:tc>
          <w:tcPr>
            <w:tcW w:type="dxa" w:w="2880"/>
          </w:tcPr>
          <w:p>
            <w:r>
              <w:t>MIT 6.033 — Design Project</w:t>
            </w:r>
          </w:p>
        </w:tc>
        <w:tc>
          <w:tcPr>
            <w:tcW w:type="dxa" w:w="2880"/>
          </w:tcPr>
          <w:p>
            <w:r>
              <w:t>Diseño detallado de un sistema real, informe, exposición y revisión</w:t>
            </w:r>
          </w:p>
        </w:tc>
        <w:tc>
          <w:tcPr>
            <w:tcW w:type="dxa" w:w="2880"/>
          </w:tcPr>
          <w:p>
            <w:r>
              <w:t>ADR, documento de compromisos, defensa oral y revisión cruzada con evidencias</w:t>
            </w:r>
          </w:p>
        </w:tc>
      </w:tr>
      <w:tr>
        <w:tc>
          <w:tcPr>
            <w:tcW w:type="dxa" w:w="2880"/>
          </w:tcPr>
          <w:p>
            <w:r>
              <w:t>MIT 6.5840 — Lab 3 Raft</w:t>
            </w:r>
          </w:p>
        </w:tc>
        <w:tc>
          <w:tcPr>
            <w:tcW w:type="dxa" w:w="2880"/>
          </w:tcPr>
          <w:p>
            <w:r>
              <w:t>Implementar máquina de estados replicada tolerante a fallos</w:t>
            </w:r>
          </w:p>
        </w:tc>
        <w:tc>
          <w:tcPr>
            <w:tcW w:type="dxa" w:w="2880"/>
          </w:tcPr>
          <w:p>
            <w:r>
              <w:t>Track avanzado separado: consenso/replicación implementada, no sustituida por RDS</w:t>
            </w:r>
          </w:p>
        </w:tc>
      </w:tr>
      <w:tr>
        <w:tc>
          <w:tcPr>
            <w:tcW w:type="dxa" w:w="2880"/>
          </w:tcPr>
          <w:p>
            <w:r>
              <w:t>MIT 6.5840 — Lab 5 Sharded KV</w:t>
            </w:r>
          </w:p>
        </w:tc>
        <w:tc>
          <w:tcPr>
            <w:tcW w:type="dxa" w:w="2880"/>
          </w:tcPr>
          <w:p>
            <w:r>
              <w:t>Implementar almacenamiento particionado sobre grupos replicados</w:t>
            </w:r>
          </w:p>
        </w:tc>
        <w:tc>
          <w:tcPr>
            <w:tcW w:type="dxa" w:w="2880"/>
          </w:tcPr>
          <w:p>
            <w:r>
              <w:t>Track de particionado/reconfiguración y prueba de linealizabilidad</w:t>
            </w:r>
          </w:p>
        </w:tc>
      </w:tr>
      <w:tr>
        <w:tc>
          <w:tcPr>
            <w:tcW w:type="dxa" w:w="2880"/>
          </w:tcPr>
          <w:p>
            <w:r>
              <w:t>URPOnline integral</w:t>
            </w:r>
          </w:p>
        </w:tc>
        <w:tc>
          <w:tcPr>
            <w:tcW w:type="dxa" w:w="2880"/>
          </w:tcPr>
          <w:p>
            <w:r>
              <w:t>AWS + seguridad + operaciones + comercio + datos + métricas</w:t>
            </w:r>
          </w:p>
        </w:tc>
        <w:tc>
          <w:tcPr>
            <w:tcW w:type="dxa" w:w="2880"/>
          </w:tcPr>
          <w:p>
            <w:r>
              <w:t>Combinar amplitud empresarial con experimentación verificable</w:t>
            </w:r>
          </w:p>
        </w:tc>
      </w:tr>
    </w:tbl>
    <w:p/>
    <w:p>
      <w:r>
        <w:rPr>
          <w:b w:val="0"/>
        </w:rPr>
        <w:t>Comparar alcance no equivale a declarar superioridad. La demostración requiere implementar las misiones, superar puertas críticas y repetir los mismos criterios ante evaluadores independientes.</w:t>
      </w:r>
    </w:p>
    <w:p>
      <w:pPr>
        <w:pStyle w:val="Heading1"/>
      </w:pPr>
      <w:r>
        <w:t>3. Arquitectura del laboratorio avanzado</w:t>
      </w:r>
    </w:p>
    <w:p>
      <w:r>
        <w:rPr>
          <w:b w:val="0"/>
        </w:rPr>
        <w:t>Ruta HTTP: navegador HTTPS:443 → WAF/ALB → Nginx:80 → Kestrel:8080 → servicio de dominio. Sesiones ASP.NET: ElastiCache Redis TLS:6379; datos: PgBouncer:6432 → RDS PostgreSQL TLS:5432. CloudWatch + OpenTelemetry capturan métricas y trazas; CloudTrail y GuardDuty cubren auditoría y hallazgos. El “núcleo de investigación” de consenso/particionado se implementa aislado, sin intervenir el circuito de pagos ni sustituir servicios administrados.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Condición verificable</w:t>
            </w:r>
          </w:p>
        </w:tc>
      </w:tr>
      <w:tr>
        <w:tc>
          <w:tcPr>
            <w:tcW w:type="dxa" w:w="4320"/>
          </w:tcPr>
          <w:p>
            <w:r>
              <w:t>Red</w:t>
            </w:r>
          </w:p>
        </w:tc>
        <w:tc>
          <w:tcPr>
            <w:tcW w:type="dxa" w:w="4320"/>
          </w:tcPr>
          <w:p>
            <w:r>
              <w:t>RDS y Redis inaccesibles directamente desde Internet; SG mínima y TLS donde aplique</w:t>
            </w:r>
          </w:p>
        </w:tc>
      </w:tr>
      <w:tr>
        <w:tc>
          <w:tcPr>
            <w:tcW w:type="dxa" w:w="4320"/>
          </w:tcPr>
          <w:p>
            <w:r>
              <w:t>Sesión</w:t>
            </w:r>
          </w:p>
        </w:tc>
        <w:tc>
          <w:tcPr>
            <w:tcW w:type="dxa" w:w="4320"/>
          </w:tcPr>
          <w:p>
            <w:r>
              <w:t>Carrito disponible al cambiar de EC2; cookie no contiene contenido del carrito</w:t>
            </w:r>
          </w:p>
        </w:tc>
      </w:tr>
      <w:tr>
        <w:tc>
          <w:tcPr>
            <w:tcW w:type="dxa" w:w="4320"/>
          </w:tcPr>
          <w:p>
            <w:r>
              <w:t>Idempotencia</w:t>
            </w:r>
          </w:p>
        </w:tc>
        <w:tc>
          <w:tcPr>
            <w:tcW w:type="dxa" w:w="4320"/>
          </w:tcPr>
          <w:p>
            <w:r>
              <w:t>Una misma clave crea como máximo una orden pagable</w:t>
            </w:r>
          </w:p>
        </w:tc>
      </w:tr>
      <w:tr>
        <w:tc>
          <w:tcPr>
            <w:tcW w:type="dxa" w:w="4320"/>
          </w:tcPr>
          <w:p>
            <w:r>
              <w:t>Stock</w:t>
            </w:r>
          </w:p>
        </w:tc>
        <w:tc>
          <w:tcPr>
            <w:tcW w:type="dxa" w:w="4320"/>
          </w:tcPr>
          <w:p>
            <w:r>
              <w:t>Nunca negativo, y total vendido ≤ unidades reservables bajo concurrencia</w:t>
            </w:r>
          </w:p>
        </w:tc>
      </w:tr>
      <w:tr>
        <w:tc>
          <w:tcPr>
            <w:tcW w:type="dxa" w:w="4320"/>
          </w:tcPr>
          <w:p>
            <w:r>
              <w:t>Observabilidad</w:t>
            </w:r>
          </w:p>
        </w:tc>
        <w:tc>
          <w:tcPr>
            <w:tcW w:type="dxa" w:w="4320"/>
          </w:tcPr>
          <w:p>
            <w:r>
              <w:t>trace_id enlaza HTTP, operación de pedido y acceso a DB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Pruebas de ataque exclusivamente sobre entorno propio autorizado</w:t>
            </w:r>
          </w:p>
        </w:tc>
      </w:tr>
    </w:tbl>
    <w:p/>
    <w:p>
      <w:pPr>
        <w:pStyle w:val="Heading1"/>
      </w:pPr>
      <w:r>
        <w:t>4. Misión A — Exactitud bajo concurrencia (20 puntos)</w:t>
      </w:r>
    </w:p>
    <w:p>
      <w:r>
        <w:rPr>
          <w:b w:val="0"/>
        </w:rPr>
        <w:t>Caso: oferta de 10 vacantes de un curso compradas por 1.000 clientes simultáneamente; el sistema debe vender como máximo 10. Probar primero la implementación ingenua “leer stock y luego actualizar”, demostrar el fallo, y corregir con UPDATE condicional en transacción PostgreSQL.</w:t>
      </w:r>
    </w:p>
    <w:p>
      <w:pPr>
        <w:spacing w:after="0"/>
        <w:ind w:left="288"/>
      </w:pPr>
      <w:r>
        <w:rPr>
          <w:rFonts w:ascii="Consolas" w:hAnsi="Consolas"/>
          <w:sz w:val="15"/>
        </w:rPr>
        <w:t>-- Aislamiento y condición atómica, dentro de la transacción del pedido</w:t>
      </w:r>
    </w:p>
    <w:p>
      <w:pPr>
        <w:spacing w:after="0"/>
        <w:ind w:left="288"/>
      </w:pPr>
      <w:r>
        <w:rPr>
          <w:rFonts w:ascii="Consolas" w:hAnsi="Consolas"/>
          <w:sz w:val="15"/>
        </w:rPr>
        <w:t>UPDATE products SET stock = stock - @quantity</w:t>
      </w:r>
    </w:p>
    <w:p>
      <w:pPr>
        <w:spacing w:after="0"/>
        <w:ind w:left="288"/>
      </w:pPr>
      <w:r>
        <w:rPr>
          <w:rFonts w:ascii="Consolas" w:hAnsi="Consolas"/>
          <w:sz w:val="15"/>
        </w:rPr>
        <w:t>WHERE id = @productId AND stock &gt;= @quantity</w:t>
      </w:r>
    </w:p>
    <w:p>
      <w:pPr>
        <w:spacing w:after="0"/>
        <w:ind w:left="288"/>
      </w:pPr>
      <w:r>
        <w:rPr>
          <w:rFonts w:ascii="Consolas" w:hAnsi="Consolas"/>
          <w:sz w:val="15"/>
        </w:rPr>
        <w:t>RETURNING stock; -- cero filas: inventario insuficiente</w:t>
      </w:r>
    </w:p>
    <w:p>
      <w:pPr>
        <w:pStyle w:val="ListNumber"/>
      </w:pPr>
      <w:r>
        <w:t>Implementar reserva de stock por fila con verificación de filas afectadas.</w:t>
      </w:r>
    </w:p>
    <w:p>
      <w:pPr>
        <w:pStyle w:val="ListNumber"/>
      </w:pPr>
      <w:r>
        <w:t>Insertar order, order_items y reserva en una única transacción; rollback total ante excepción.</w:t>
      </w:r>
    </w:p>
    <w:p>
      <w:pPr>
        <w:pStyle w:val="ListNumber"/>
      </w:pPr>
      <w:r>
        <w:t>Crear prueba de carrera con barrera para 1.000 solicitudes en paralelo.</w:t>
      </w:r>
    </w:p>
    <w:p>
      <w:pPr>
        <w:pStyle w:val="ListNumber"/>
      </w:pPr>
      <w:r>
        <w:t>Repetir para varias EC2 y variar IsolationLevel; explicar READ COMMITTED vs SERIALIZABLE.</w:t>
      </w:r>
    </w:p>
    <w:p>
      <w:r>
        <w:rPr>
          <w:b w:val="0"/>
        </w:rPr>
        <w:t>Evidencias: script de carga, datos inicial/final, logs con correlación, consulta SQL de invariante, porcentaje de errores de negocio. Fallo automático: stock negativo, ventas &gt; stock inicial o pedido creado sin reserva.</w:t>
      </w:r>
    </w:p>
    <w:p>
      <w:pPr>
        <w:pStyle w:val="Heading1"/>
      </w:pPr>
      <w:r>
        <w:t>5. Misión B — Idempotencia y semántica de ejecución (15 puntos)</w:t>
      </w:r>
    </w:p>
    <w:p>
      <w:r>
        <w:rPr>
          <w:b w:val="0"/>
        </w:rPr>
        <w:t>Caso: el cliente presiona Comprar dos veces o la red reenvía el POST por timeout. La API debe aceptar X-Idempotency-Key por operación, asociarla a usuario/orden e impedir resultados divergentes. “Exactly once” extremo a extremo no se presume: se diseña una semántica de negocio idempotente y se explica la frontera entre pedido y proveedor de pago.</w:t>
      </w:r>
    </w:p>
    <w:p>
      <w:pPr>
        <w:spacing w:after="0"/>
        <w:ind w:left="288"/>
      </w:pPr>
      <w:r>
        <w:rPr>
          <w:rFonts w:ascii="Consolas" w:hAnsi="Consolas"/>
          <w:sz w:val="15"/>
        </w:rPr>
        <w:t>CREATE UNIQUE INDEX ux_orders_user_idempotency</w:t>
      </w:r>
    </w:p>
    <w:p>
      <w:pPr>
        <w:spacing w:after="0"/>
        <w:ind w:left="288"/>
      </w:pPr>
      <w:r>
        <w:rPr>
          <w:rFonts w:ascii="Consolas" w:hAnsi="Consolas"/>
          <w:sz w:val="15"/>
        </w:rPr>
        <w:t>ON orders(user_id, idempotency_key);</w:t>
      </w:r>
    </w:p>
    <w:p>
      <w:pPr>
        <w:spacing w:after="0"/>
        <w:ind w:left="288"/>
      </w:pPr>
      <w:r>
        <w:rPr>
          <w:rFonts w:ascii="Consolas" w:hAnsi="Consolas"/>
          <w:sz w:val="15"/>
        </w:rPr>
        <w:t>-- Guardar hash de la solicitud y resultado de forma transaccional;</w:t>
      </w:r>
    </w:p>
    <w:p>
      <w:pPr>
        <w:spacing w:after="0"/>
        <w:ind w:left="288"/>
      </w:pPr>
      <w:r>
        <w:rPr>
          <w:rFonts w:ascii="Consolas" w:hAnsi="Consolas"/>
          <w:sz w:val="15"/>
        </w:rPr>
        <w:t>-- ante reintento con misma clave + distinto payload: HTTP 409.</w:t>
      </w:r>
    </w:p>
    <w:p>
      <w:pPr>
        <w:pStyle w:val="ListNumber"/>
      </w:pPr>
      <w:r>
        <w:t>Definir contrato POST /checkout, estados y recuperación tras timeout.</w:t>
      </w:r>
    </w:p>
    <w:p>
      <w:pPr>
        <w:pStyle w:val="ListNumber"/>
      </w:pPr>
      <w:r>
        <w:t>Repetir 100 solicitudes con una sola clave y comprobar una única orden.</w:t>
      </w:r>
    </w:p>
    <w:p>
      <w:pPr>
        <w:pStyle w:val="ListNumber"/>
      </w:pPr>
      <w:r>
        <w:t>Simular caída después de commit y antes de entregar HTTP 201.</w:t>
      </w:r>
    </w:p>
    <w:p>
      <w:pPr>
        <w:pStyle w:val="ListNumber"/>
      </w:pPr>
      <w:r>
        <w:t>Para pagos, validar webhooks firmados y unicidad del identificador externo; solo sandbox.</w:t>
      </w:r>
    </w:p>
    <w:p>
      <w:r>
        <w:rPr>
          <w:b w:val="0"/>
        </w:rPr>
        <w:t>Puerta crítica: cero órdenes duplicadas por una misma clave y carga útil; ningún doble efecto comercial.</w:t>
      </w:r>
    </w:p>
    <w:p>
      <w:pPr>
        <w:pStyle w:val="Heading1"/>
      </w:pPr>
      <w:r>
        <w:t>6. Misión C — Fallas inducidas, continuidad y RTO/RPO (20 puntos)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Experimento</w:t>
            </w:r>
          </w:p>
        </w:tc>
        <w:tc>
          <w:tcPr>
            <w:tcW w:type="dxa" w:w="2880"/>
          </w:tcPr>
          <w:p>
            <w:r>
              <w:t>Inyección segura</w:t>
            </w:r>
          </w:p>
        </w:tc>
        <w:tc>
          <w:tcPr>
            <w:tcW w:type="dxa" w:w="2880"/>
          </w:tcPr>
          <w:p>
            <w:r>
              <w:t>Afirmación a demostrar</w:t>
            </w:r>
          </w:p>
        </w:tc>
      </w:tr>
      <w:tr>
        <w:tc>
          <w:tcPr>
            <w:tcW w:type="dxa" w:w="2880"/>
          </w:tcPr>
          <w:p>
            <w:r>
              <w:t>EC2 individual</w:t>
            </w:r>
          </w:p>
        </w:tc>
        <w:tc>
          <w:tcPr>
            <w:tcW w:type="dxa" w:w="2880"/>
          </w:tcPr>
          <w:p>
            <w:r>
              <w:t>Terminar instancia de un ASG de pruebas</w:t>
            </w:r>
          </w:p>
        </w:tc>
        <w:tc>
          <w:tcPr>
            <w:tcW w:type="dxa" w:w="2880"/>
          </w:tcPr>
          <w:p>
            <w:r>
              <w:t>ALB retira target; el carrito persiste en Redis</w:t>
            </w:r>
          </w:p>
        </w:tc>
      </w:tr>
      <w:tr>
        <w:tc>
          <w:tcPr>
            <w:tcW w:type="dxa" w:w="2880"/>
          </w:tcPr>
          <w:p>
            <w:r>
              <w:t>AZ</w:t>
            </w:r>
          </w:p>
        </w:tc>
        <w:tc>
          <w:tcPr>
            <w:tcW w:type="dxa" w:w="2880"/>
          </w:tcPr>
          <w:p>
            <w:r>
              <w:t>Simular pérdida de instancias de una AZ de pruebas</w:t>
            </w:r>
          </w:p>
        </w:tc>
        <w:tc>
          <w:tcPr>
            <w:tcW w:type="dxa" w:w="2880"/>
          </w:tcPr>
          <w:p>
            <w:r>
              <w:t>Servicio continúa con capacidad degradada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Reiniciar nodo de entorno de prueba / introducir latencia</w:t>
            </w:r>
          </w:p>
        </w:tc>
        <w:tc>
          <w:tcPr>
            <w:tcW w:type="dxa" w:w="2880"/>
          </w:tcPr>
          <w:p>
            <w:r>
              <w:t>Sesiones degradan según política explícita, sin corromper compras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Failover RDS de prueba y corte de PgBouncer</w:t>
            </w:r>
          </w:p>
        </w:tc>
        <w:tc>
          <w:tcPr>
            <w:tcW w:type="dxa" w:w="2880"/>
          </w:tcPr>
          <w:p>
            <w:r>
              <w:t>Timeouts y reintentos controlados, sin duplicaciones</w:t>
            </w:r>
          </w:p>
        </w:tc>
      </w:tr>
      <w:tr>
        <w:tc>
          <w:tcPr>
            <w:tcW w:type="dxa" w:w="2880"/>
          </w:tcPr>
          <w:p>
            <w:r>
              <w:t>RTO/RPO</w:t>
            </w:r>
          </w:p>
        </w:tc>
        <w:tc>
          <w:tcPr>
            <w:tcW w:type="dxa" w:w="2880"/>
          </w:tcPr>
          <w:p>
            <w:r>
              <w:t>Restaurar backup/PITR y medir</w:t>
            </w:r>
          </w:p>
        </w:tc>
        <w:tc>
          <w:tcPr>
            <w:tcW w:type="dxa" w:w="2880"/>
          </w:tcPr>
          <w:p>
            <w:r>
              <w:t>RTO y RPO observados cumplen objetivos acordados</w:t>
            </w:r>
          </w:p>
        </w:tc>
      </w:tr>
    </w:tbl>
    <w:p/>
    <w:p>
      <w:r>
        <w:rPr>
          <w:b w:val="0"/>
        </w:rPr>
        <w:t>Definiciones: RTO = intervalo desde indisponibilidad hasta recuperación funcional; RPO = máxima antigüedad de datos perdidos, medida contra transacciones confirmadas. Objetivos propuestos: compra RTO≤5 min/RPO≤1 min; carrito RTO≤10 min/RPO≤5 min. No garantizar estos valores sin medición. Preparar abort/rollback del experimento y presupuesto AWS.</w:t>
      </w:r>
    </w:p>
    <w:p>
      <w:pPr>
        <w:pStyle w:val="Heading1"/>
      </w:pPr>
      <w:r>
        <w:t>7. Misión D — Rendimiento, costos y reproducibilidad (15 puntos)</w:t>
      </w:r>
    </w:p>
    <w:p>
      <w:r>
        <w:rPr>
          <w:b w:val="0"/>
        </w:rPr>
        <w:t>Diseñar cinco escalones de carga (100, 500, 2.000, 5.000 y 20.000 usuarios virtuales) e incrementar la tasa de solicitudes gradualmente hasta 2.000 RPS si el entorno lo soporta. Distinguir usuarios concurrentes de solicitudes/s; el perfil de navegación debe incluir catalogar, carrito y compra en proporciones documentadas.</w:t>
      </w:r>
    </w:p>
    <w:p>
      <w:pPr>
        <w:pStyle w:val="ListBullet"/>
      </w:pPr>
      <w:r>
        <w:t>Reportar RPS real, errores HTTP/negocio, latencia p50/p95/p99, CPU, conexiones Npgsql, PgBouncer y PostgreSQL, throughput Redis y tasa de rechazo.</w:t>
      </w:r>
    </w:p>
    <w:p>
      <w:pPr>
        <w:pStyle w:val="ListBullet"/>
      </w:pPr>
      <w:r>
        <w:t>Establecer SLO de referencia: éxito técnico≥99,9 % a carga acordada; p95 catálogo≤500 ms y p95 checkout≤1500 ms. Son criterios propuestos, no resultados actuales.</w:t>
      </w:r>
    </w:p>
    <w:p>
      <w:pPr>
        <w:pStyle w:val="ListBullet"/>
      </w:pPr>
      <w:r>
        <w:t>Ejecutar ≥3 repeticiones con configuración y datos iguales; publicar scripts, seed, versión de infraestructura y coste estimado por experimento.</w:t>
      </w:r>
    </w:p>
    <w:p>
      <w:pPr>
        <w:pStyle w:val="ListBullet"/>
      </w:pPr>
      <w:r>
        <w:t>Comparar sin/con pooling, con/sin caché y dos tamaños de instancia; explicar incertidumbre y cuellos de botella.</w:t>
      </w:r>
    </w:p>
    <w:p>
      <w:pPr>
        <w:pStyle w:val="Heading1"/>
      </w:pPr>
      <w:r>
        <w:t>8. Misión E — Observabilidad y seguridad verificables (10 puntos)</w:t>
      </w:r>
    </w:p>
    <w:p>
      <w:r>
        <w:rPr>
          <w:b w:val="0"/>
        </w:rPr>
        <w:t>Instrumentar OpenTelemetry en ASP.NET Core para solicitudes entrantes, Npgsql y actividades internas; exportar mediante OpenTelemetry Collector/ADOT a backend elegido y correlacionar trace_id con logs estructurados. En CloudWatch, alarmas para ALB 5xx, latencias, ASG, RDS, Redis y saturación del pool. No afirmar que X-Ray captura automáticamente una traza completa sin configurar exportadores y propagación.</w:t>
      </w:r>
    </w:p>
    <w:p>
      <w:pPr>
        <w:pStyle w:val="ListNumber"/>
      </w:pPr>
      <w:r>
        <w:t>Inyectar un error Nginx→Kestrel y reconstruir la causa con un trace_id y log.</w:t>
      </w:r>
    </w:p>
    <w:p>
      <w:pPr>
        <w:pStyle w:val="ListNumber"/>
      </w:pPr>
      <w:r>
        <w:t>Explicar diferencia entre CloudWatch (métricas/logs/alarmas), CloudTrail (actividad API de AWS), GuardDuty (hallazgos), VPC Flow Logs (flujos IP) y Reachability Analyzer (ruta teórica de conectividad).</w:t>
      </w:r>
    </w:p>
    <w:p>
      <w:pPr>
        <w:pStyle w:val="ListNumber"/>
      </w:pPr>
      <w:r>
        <w:t>Realizar revisión OWASP, control de acceso, secretos, cabeceras y dependencia vulnerable en ambiente propio.</w:t>
      </w:r>
    </w:p>
    <w:p>
      <w:pPr>
        <w:pStyle w:val="ListNumber"/>
      </w:pPr>
      <w:r>
        <w:t>Entregar registro de hallazgo → acción correctiva → prueba de regresión.</w:t>
      </w:r>
    </w:p>
    <w:p>
      <w:pPr>
        <w:pStyle w:val="Heading1"/>
      </w:pPr>
      <w:r>
        <w:t>9. Misión F — Laboratorio de algoritmos distribuidos (20 puntos)</w:t>
      </w:r>
    </w:p>
    <w:p>
      <w:r>
        <w:rPr>
          <w:b w:val="0"/>
        </w:rPr>
        <w:t>Este track es el diferenciador frente a un mero uso de servicios administrados AWS. Implementar un servicio de reservas o KV replicado en proceso independiente, con un algoritmo de consenso y pruebas de fallos. Se sugiere Raft: líder, términos, votos, log replicado, commit por mayoría y reinicio con estado duradero. No usar DynamoDB/RDS como sustituto de la implementación del consenso en esta misión.</w:t>
      </w:r>
    </w:p>
    <w:p>
      <w:pPr>
        <w:pStyle w:val="ListNumber"/>
      </w:pPr>
      <w:r>
        <w:t>Etapa 1: elegir líder con 3 y 5 nodos; demostrar unicidad de líder válido por término bajo condiciones de la simulación.</w:t>
      </w:r>
    </w:p>
    <w:p>
      <w:pPr>
        <w:pStyle w:val="ListNumber"/>
      </w:pPr>
      <w:r>
        <w:t>Etapa 2: replicar log y aplicar entradas en orden; no confirmar escritura sin mayoría.</w:t>
      </w:r>
    </w:p>
    <w:p>
      <w:pPr>
        <w:pStyle w:val="ListNumber"/>
      </w:pPr>
      <w:r>
        <w:t>Etapa 3: desconectar nodos o introducir partición; bloquear escritura donde no haya quórum.</w:t>
      </w:r>
    </w:p>
    <w:p>
      <w:pPr>
        <w:pStyle w:val="ListNumber"/>
      </w:pPr>
      <w:r>
        <w:t>Etapa 4: reiniciar seguidores/líder y reconstruir estado desde log/snapshot.</w:t>
      </w:r>
    </w:p>
    <w:p>
      <w:pPr>
        <w:pStyle w:val="ListNumber"/>
      </w:pPr>
      <w:r>
        <w:t>Etapa 5 (sobresaliente): sharding con reconfiguración y traslado de claves manteniendo invariantes.</w:t>
      </w:r>
    </w:p>
    <w:p>
      <w:r>
        <w:rPr>
          <w:b w:val="0"/>
        </w:rPr>
        <w:t>Validación: historia de operaciones con timestamps, checker de linealizabilidad, semillas de escenarios y trazas de mensajes. La aplicación comercial puede seguir usando RDS: el módulo Raft es experimental y aislado. Una demostración con “tres copias de Redis” no cumple esta misión.</w:t>
      </w:r>
    </w:p>
    <w:p>
      <w:pPr>
        <w:pStyle w:val="Heading1"/>
      </w:pPr>
      <w:r>
        <w:t>10. Infraestructura y puertos bajo prueba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Origen → destino</w:t>
            </w:r>
          </w:p>
        </w:tc>
        <w:tc>
          <w:tcPr>
            <w:tcW w:type="dxa" w:w="2880"/>
          </w:tcPr>
          <w:p>
            <w:r>
              <w:t>Puerto</w:t>
            </w:r>
          </w:p>
        </w:tc>
        <w:tc>
          <w:tcPr>
            <w:tcW w:type="dxa" w:w="2880"/>
          </w:tcPr>
          <w:p>
            <w:r>
              <w:t>Verificación</w:t>
            </w:r>
          </w:p>
        </w:tc>
      </w:tr>
      <w:tr>
        <w:tc>
          <w:tcPr>
            <w:tcW w:type="dxa" w:w="2880"/>
          </w:tcPr>
          <w:p>
            <w:r>
              <w:t>Internet → ALB</w:t>
            </w:r>
          </w:p>
        </w:tc>
        <w:tc>
          <w:tcPr>
            <w:tcW w:type="dxa" w:w="2880"/>
          </w:tcPr>
          <w:p>
            <w:r>
              <w:t>443 TLS</w:t>
            </w:r>
          </w:p>
        </w:tc>
        <w:tc>
          <w:tcPr>
            <w:tcW w:type="dxa" w:w="2880"/>
          </w:tcPr>
          <w:p>
            <w:r>
              <w:t>Certificado y reglas WAF; no abrir EC2 a Internet</w:t>
            </w:r>
          </w:p>
        </w:tc>
      </w:tr>
      <w:tr>
        <w:tc>
          <w:tcPr>
            <w:tcW w:type="dxa" w:w="2880"/>
          </w:tcPr>
          <w:p>
            <w:r>
              <w:t>ALB → Nginx (EC2 privada)</w:t>
            </w:r>
          </w:p>
        </w:tc>
        <w:tc>
          <w:tcPr>
            <w:tcW w:type="dxa" w:w="2880"/>
          </w:tcPr>
          <w:p>
            <w:r>
              <w:t>80 HTTP interno</w:t>
            </w:r>
          </w:p>
        </w:tc>
        <w:tc>
          <w:tcPr>
            <w:tcW w:type="dxa" w:w="2880"/>
          </w:tcPr>
          <w:p>
            <w:r>
              <w:t>Target Group /health con respuesta 200 real</w:t>
            </w:r>
          </w:p>
        </w:tc>
      </w:tr>
      <w:tr>
        <w:tc>
          <w:tcPr>
            <w:tcW w:type="dxa" w:w="2880"/>
          </w:tcPr>
          <w:p>
            <w:r>
              <w:t>Nginx → Kestrel (loopback)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proxy_pass 127.0.0.1:8080; proceso activo</w:t>
            </w:r>
          </w:p>
        </w:tc>
      </w:tr>
      <w:tr>
        <w:tc>
          <w:tcPr>
            <w:tcW w:type="dxa" w:w="2880"/>
          </w:tcPr>
          <w:p>
            <w:r>
              <w:t>Aplicación → Redis TLS</w:t>
            </w:r>
          </w:p>
        </w:tc>
        <w:tc>
          <w:tcPr>
            <w:tcW w:type="dxa" w:w="2880"/>
          </w:tcPr>
          <w:p>
            <w:r>
              <w:t>6379</w:t>
            </w:r>
          </w:p>
        </w:tc>
        <w:tc>
          <w:tcPr>
            <w:tcW w:type="dxa" w:w="2880"/>
          </w:tcPr>
          <w:p>
            <w:r>
              <w:t>SG privada; expiración/lectura desde otra EC2</w:t>
            </w:r>
          </w:p>
        </w:tc>
      </w:tr>
      <w:tr>
        <w:tc>
          <w:tcPr>
            <w:tcW w:type="dxa" w:w="2880"/>
          </w:tcPr>
          <w:p>
            <w:r>
              <w:t>Aplicación → PgBouncer</w:t>
            </w:r>
          </w:p>
        </w:tc>
        <w:tc>
          <w:tcPr>
            <w:tcW w:type="dxa" w:w="2880"/>
          </w:tcPr>
          <w:p>
            <w:r>
              <w:t>6432</w:t>
            </w:r>
          </w:p>
        </w:tc>
        <w:tc>
          <w:tcPr>
            <w:tcW w:type="dxa" w:w="2880"/>
          </w:tcPr>
          <w:p>
            <w:r>
              <w:t>SG restringido, política TLS definida</w:t>
            </w:r>
          </w:p>
        </w:tc>
      </w:tr>
      <w:tr>
        <w:tc>
          <w:tcPr>
            <w:tcW w:type="dxa" w:w="2880"/>
          </w:tcPr>
          <w:p>
            <w:r>
              <w:t>PgBouncer → RDS PostgreSQL</w:t>
            </w:r>
          </w:p>
        </w:tc>
        <w:tc>
          <w:tcPr>
            <w:tcW w:type="dxa" w:w="2880"/>
          </w:tcPr>
          <w:p>
            <w:r>
              <w:t>5432</w:t>
            </w:r>
          </w:p>
        </w:tc>
        <w:tc>
          <w:tcPr>
            <w:tcW w:type="dxa" w:w="2880"/>
          </w:tcPr>
          <w:p>
            <w:r>
              <w:t>SG RDS solo desde PgBouncer; PITR</w:t>
            </w:r>
          </w:p>
        </w:tc>
      </w:tr>
      <w:tr>
        <w:tc>
          <w:tcPr>
            <w:tcW w:type="dxa" w:w="2880"/>
          </w:tcPr>
          <w:p>
            <w:r>
              <w:t>EC2 → S3/CloudWatch/Secrets Manager</w:t>
            </w:r>
          </w:p>
        </w:tc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IAM Role, NAT o VPC endpoints según diseño</w:t>
            </w:r>
          </w:p>
        </w:tc>
      </w:tr>
    </w:tbl>
    <w:p/>
    <w:p>
      <w:pPr>
        <w:pStyle w:val="Heading1"/>
      </w:pPr>
      <w:r>
        <w:t>11. Plan de ejecución en 6 semanas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Semana</w:t>
            </w:r>
          </w:p>
        </w:tc>
        <w:tc>
          <w:tcPr>
            <w:tcW w:type="dxa" w:w="4320"/>
          </w:tcPr>
          <w:p>
            <w:r>
              <w:t>Entregable con evidencia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Inventario ejecutable, baseline y tests de salud/capacidad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Concurrencia de inventario, transacciones e idempotencia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Pruebas de falla y objetivos RTO/RPO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Rendimiento, seguridad y observabilidad distribuida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Raft replicado y checker de consistencia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Sharding opcional, revisión externa, informe y defensa</w:t>
            </w:r>
          </w:p>
        </w:tc>
      </w:tr>
    </w:tbl>
    <w:p/>
    <w:p>
      <w:pPr>
        <w:pStyle w:val="Heading1"/>
      </w:pPr>
      <w:r>
        <w:t>12. Rúbrica y puertas de aprobación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Bloque</w:t>
            </w:r>
          </w:p>
        </w:tc>
        <w:tc>
          <w:tcPr>
            <w:tcW w:type="dxa" w:w="2880"/>
          </w:tcPr>
          <w:p>
            <w:r>
              <w:t>Puntos</w:t>
            </w:r>
          </w:p>
        </w:tc>
        <w:tc>
          <w:tcPr>
            <w:tcW w:type="dxa" w:w="2880"/>
          </w:tcPr>
          <w:p>
            <w:r>
              <w:t>Puerta crítica</w:t>
            </w:r>
          </w:p>
        </w:tc>
      </w:tr>
      <w:tr>
        <w:tc>
          <w:tcPr>
            <w:tcW w:type="dxa" w:w="2880"/>
          </w:tcPr>
          <w:p>
            <w:r>
              <w:t>A: Concurrencia/consistencia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Cero sobreventa</w:t>
            </w:r>
          </w:p>
        </w:tc>
      </w:tr>
      <w:tr>
        <w:tc>
          <w:tcPr>
            <w:tcW w:type="dxa" w:w="2880"/>
          </w:tcPr>
          <w:p>
            <w:r>
              <w:t>B: Idempotencia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Sin efectos duplicados</w:t>
            </w:r>
          </w:p>
        </w:tc>
      </w:tr>
      <w:tr>
        <w:tc>
          <w:tcPr>
            <w:tcW w:type="dxa" w:w="2880"/>
          </w:tcPr>
          <w:p>
            <w:r>
              <w:t>C: Resiliencia y recuperación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RTO/RPO medidos</w:t>
            </w:r>
          </w:p>
        </w:tc>
      </w:tr>
      <w:tr>
        <w:tc>
          <w:tcPr>
            <w:tcW w:type="dxa" w:w="2880"/>
          </w:tcPr>
          <w:p>
            <w:r>
              <w:t>D: Performance/economía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Resultados reproducibles</w:t>
            </w:r>
          </w:p>
        </w:tc>
      </w:tr>
      <w:tr>
        <w:tc>
          <w:tcPr>
            <w:tcW w:type="dxa" w:w="2880"/>
          </w:tcPr>
          <w:p>
            <w:r>
              <w:t>E: Seguridad/observabilidad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Sin hallazgos críticos abiertos</w:t>
            </w:r>
          </w:p>
        </w:tc>
      </w:tr>
      <w:tr>
        <w:tc>
          <w:tcPr>
            <w:tcW w:type="dxa" w:w="2880"/>
          </w:tcPr>
          <w:p>
            <w:r>
              <w:t>F: Algoritmos distribuidos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Consenso implementado y probado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Aprobar ≥90 y todas las puertas críticas</w:t>
            </w:r>
          </w:p>
        </w:tc>
      </w:tr>
    </w:tbl>
    <w:p/>
    <w:p>
      <w:r>
        <w:rPr>
          <w:b w:val="0"/>
        </w:rPr>
        <w:t>No se concede aprobación por capturas de pantalla de recursos AWS sin ejecución, scripts y resultados. Toda medición se entrega con timestamp, región, versión de código, commit, tamaño de infraestructura, costo y procedimiento de reproducción.</w:t>
      </w:r>
    </w:p>
    <w:p>
      <w:pPr>
        <w:pStyle w:val="Heading1"/>
      </w:pPr>
      <w:r>
        <w:t>13. Paquete obligatorio de evidencias</w:t>
      </w:r>
    </w:p>
    <w:p>
      <w:pPr>
        <w:pStyle w:val="ListBullet"/>
      </w:pPr>
      <w:r>
        <w:t>Repositorio reproducible: README, infraestructura versionada, docker-compose para PostgreSQL/Redis locales, scripts de seed y comando único de test.</w:t>
      </w:r>
    </w:p>
    <w:p>
      <w:pPr>
        <w:pStyle w:val="ListBullet"/>
      </w:pPr>
      <w:r>
        <w:t>ADRs: consistencia, idempotencia, Redis, PgBouncer, recuperación, alternativas y decisiones de costo.</w:t>
      </w:r>
    </w:p>
    <w:p>
      <w:pPr>
        <w:pStyle w:val="ListBullet"/>
      </w:pPr>
      <w:r>
        <w:t>Resultados: JSON/CSV de carga, gráficas p95/p99, errores, cambios de capacidad y costos AWS.</w:t>
      </w:r>
    </w:p>
    <w:p>
      <w:pPr>
        <w:pStyle w:val="ListBullet"/>
      </w:pPr>
      <w:r>
        <w:t>Resiliencia: bitácora de inyecciones con hora de inicio/fin, recuperación y desviación de RTO/RPO.</w:t>
      </w:r>
    </w:p>
    <w:p>
      <w:pPr>
        <w:pStyle w:val="ListBullet"/>
      </w:pPr>
      <w:r>
        <w:t>Distribuidos: historial de operaciones, verificador de linealizabilidad y fallos reproducibles.</w:t>
      </w:r>
    </w:p>
    <w:p>
      <w:pPr>
        <w:pStyle w:val="ListBullet"/>
      </w:pPr>
      <w:r>
        <w:t>Informe final: hipótesis, amenazas a la validez, resultados negativos, acciones y exposición con preguntas técnicas.</w:t>
      </w:r>
    </w:p>
    <w:p>
      <w:pPr>
        <w:pStyle w:val="Heading1"/>
      </w:pPr>
      <w:r>
        <w:t>14. Criterio para declarar “superamos con holgura”</w:t>
      </w:r>
    </w:p>
    <w:p>
      <w:r>
        <w:rPr>
          <w:b w:val="0"/>
        </w:rPr>
        <w:t>Se podrá defender una afirmación delimitada (por ejemplo, mayor amplitud empresarial junto con pruebas distribuidas equivalentes o más exigentes que determinadas prácticas publicadas del MIT) solo después de: (1) elegir explícitamente ediciones y laboratorios comparados; (2) publicar implementaciones y resultados; (3) superar todas las puertas de 90/100; (4) cotejar artefactos y exigencias uno a uno; y (5) obtener revisión técnica independiente. No existe una medición objetiva única del “nivel MIT” de toda la institución.</w:t>
      </w:r>
    </w:p>
    <w:p>
      <w:pPr>
        <w:pStyle w:val="Heading1"/>
      </w:pPr>
      <w:r>
        <w:t>15. Fuentes oficiales de referencia</w:t>
      </w:r>
    </w:p>
    <w:p>
      <w:r>
        <w:rPr>
          <w:b w:val="0"/>
        </w:rPr>
        <w:t>MIT 6.033 Design Project: https://web.mit.edu/6.033/www/dp.shtml</w:t>
      </w:r>
    </w:p>
    <w:p>
      <w:r>
        <w:rPr>
          <w:b w:val="0"/>
        </w:rPr>
        <w:t>MIT OCW 6.033 Design Project: https://ocw.mit.edu/courses/6-033-computer-system-engineering-spring-2018/pages/design-project/</w:t>
      </w:r>
    </w:p>
    <w:p>
      <w:r>
        <w:rPr>
          <w:b w:val="0"/>
        </w:rPr>
        <w:t>MIT 6.5840 Lab 3 Raft (2026): https://pdos.csail.mit.edu/6.5840/labs/lab-raft1.html</w:t>
      </w:r>
    </w:p>
    <w:p>
      <w:r>
        <w:rPr>
          <w:b w:val="0"/>
        </w:rPr>
        <w:t>MIT 6.5840 Lab 5 Sharded KV (2026): https://pdos.csail.mit.edu/6.824/labs/lab-shard1.html</w:t>
      </w:r>
    </w:p>
    <w:sectPr w:rsidR="00FC693F" w:rsidRPr="0006063C" w:rsidSect="00034616">
      <w:footerReference w:type="default" r:id="rId9"/>
      <w:pgSz w:w="12240" w:h="15840"/>
      <w:pgMar w:top="936" w:right="1800" w:bottom="864" w:left="1800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URPOnline | Guía avanzada independiente — Documento de diseño, no constancia de pruebas superadas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417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618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E305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