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00965E"/>
          <w:sz w:val="64"/>
          <w:szCs w:val="64"/>
        </w:rPr>
        <w:t xml:space="preserve">BNP PARIBAS</w:t>
      </w:r>
    </w:p>
    <w:p>
      <w:pPr>
        <w:spacing w:after="480" w:before="0"/>
        <w:jc w:val="center"/>
      </w:pPr>
      <w:r>
        <w:rPr>
          <w:rFonts w:ascii="Arial" w:cs="Arial" w:eastAsia="Arial" w:hAnsi="Arial"/>
          <w:i/>
          <w:iCs/>
          <w:color w:val="555555"/>
          <w:sz w:val="30"/>
          <w:szCs w:val="30"/>
        </w:rPr>
        <w:t xml:space="preserve">Communication Groupe</w:t>
      </w:r>
    </w:p>
    <w:p>
      <w:pPr>
        <w:pBdr>
          <w:bottom w:val="single" w:color="00965E" w:sz="12" w:space="1"/>
        </w:pBdr>
        <w:spacing w:after="480" w:before="0"/>
      </w:pPr>
      <w:r>
        <w:t xml:space="preserve"/>
      </w:r>
    </w:p>
    <w:p>
      <w:pPr>
        <w:spacing w:after="200" w:before="0"/>
        <w:jc w:val="center"/>
      </w:pPr>
      <w:r>
        <w:rPr>
          <w:rFonts w:ascii="Arial" w:cs="Arial" w:eastAsia="Arial" w:hAnsi="Arial"/>
          <w:b/>
          <w:bCs/>
          <w:color w:val="1A1A1A"/>
          <w:sz w:val="52"/>
          <w:szCs w:val="52"/>
        </w:rPr>
        <w:t xml:space="preserve">RAPPORT DE STAGE</w:t>
      </w:r>
    </w:p>
    <w:p>
      <w:pPr>
        <w:spacing w:after="120" w:before="0"/>
        <w:jc w:val="center"/>
      </w:pPr>
      <w:r>
        <w:rPr>
          <w:rFonts w:ascii="Arial" w:cs="Arial" w:eastAsia="Arial" w:hAnsi="Arial"/>
          <w:b/>
          <w:bCs/>
          <w:color w:val="00965E"/>
          <w:sz w:val="28"/>
          <w:szCs w:val="28"/>
        </w:rPr>
        <w:t xml:space="preserve">Département Histoire, Société et Prospective</w:t>
      </w:r>
    </w:p>
    <w:p>
      <w:pPr>
        <w:spacing w:after="600" w:before="0"/>
        <w:jc w:val="center"/>
      </w:pPr>
      <w:r>
        <w:rPr>
          <w:rFonts w:ascii="Arial" w:cs="Arial" w:eastAsia="Arial" w:hAnsi="Arial"/>
          <w:i/>
          <w:iCs/>
          <w:color w:val="555555"/>
          <w:sz w:val="28"/>
          <w:szCs w:val="28"/>
        </w:rPr>
        <w:t xml:space="preserve">Knowledge &amp; Data Management</w:t>
      </w: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Stagiaire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[Prénom NOM]</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Formation</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[Établissement — Niveau d'études]</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Tuteur entreprise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[Nom du tuteur]</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Période de stage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[Date de début] — [Date de fin]</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Lieu</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Paris, France</w:t>
            </w:r>
          </w:p>
        </w:tc>
      </w:tr>
      <w:tr>
        <w:tc>
          <w:tcPr>
            <w:tcW w:type="dxa" w:w="30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00965E"/>
                <w:sz w:val="21"/>
                <w:szCs w:val="21"/>
              </w:rPr>
              <w:t xml:space="preserve">Année universitaire</w:t>
            </w:r>
          </w:p>
        </w:tc>
        <w:tc>
          <w:tcPr>
            <w:tcW w:type="dxa" w:w="63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1"/>
                <w:szCs w:val="21"/>
              </w:rPr>
              <w:t xml:space="preserve">2024 — 2025</w:t>
            </w:r>
          </w:p>
        </w:tc>
      </w:tr>
    </w:tbl>
    <w:p>
      <w:pPr>
        <w:spacing w:after="0" w:before="600"/>
      </w:pPr>
      <w:r>
        <w:t xml:space="preserve"/>
      </w:r>
    </w:p>
    <w:p>
      <w:pPr>
        <w:jc w:val="center"/>
      </w:pPr>
      <w:r>
        <w:rPr>
          <w:rFonts w:ascii="Arial" w:cs="Arial" w:eastAsia="Arial" w:hAnsi="Arial"/>
          <w:i/>
          <w:iCs/>
          <w:color w:val="AAAAAA"/>
          <w:sz w:val="18"/>
          <w:szCs w:val="18"/>
        </w:rPr>
        <w:t xml:space="preserve">Document confidentiel — Usage interne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00965E" w:sz="8" w:space="4"/>
        </w:pBdr>
        <w:spacing w:after="200" w:before="480"/>
      </w:pPr>
      <w:r>
        <w:rPr>
          <w:rFonts w:ascii="Arial" w:cs="Arial" w:eastAsia="Arial" w:hAnsi="Arial"/>
          <w:b/>
          <w:bCs/>
          <w:color w:val="00965E"/>
          <w:sz w:val="32"/>
          <w:szCs w:val="32"/>
        </w:rPr>
        <w:t xml:space="preserve">Remerciements</w:t>
      </w:r>
    </w:p>
    <w:p>
      <w:pPr>
        <w:spacing w:after="80" w:before="80"/>
        <w:jc w:val="both"/>
      </w:pPr>
      <w:r>
        <w:rPr>
          <w:rFonts w:ascii="Arial" w:cs="Arial" w:eastAsia="Arial" w:hAnsi="Arial"/>
          <w:color w:val="1A1A1A"/>
          <w:sz w:val="22"/>
          <w:szCs w:val="22"/>
        </w:rPr>
        <w:t xml:space="preserve">Je tiens à exprimer ma sincère gratitude à toute l'équipe du département Histoire, Société et Prospective de BNP Paribas pour m'avoir accueillie au sein de la Direction de la Communication Groupe. Ce stage a constitué une expérience professionnelle et humaine d'une grande richesse.</w:t>
      </w:r>
    </w:p>
    <w:p>
      <w:pPr>
        <w:spacing w:after="80" w:before="80"/>
        <w:jc w:val="both"/>
      </w:pPr>
      <w:r>
        <w:rPr>
          <w:rFonts w:ascii="Arial" w:cs="Arial" w:eastAsia="Arial" w:hAnsi="Arial"/>
          <w:color w:val="1A1A1A"/>
          <w:sz w:val="22"/>
          <w:szCs w:val="22"/>
        </w:rPr>
        <w:t xml:space="preserve">Je remercie tout particulièrement [Nom du tuteur], mon tuteur de stage, pour sa disponibilité, ses conseils avisés et la confiance qu'il m'a accordée tout au long de cette mission. Ses orientations m'ont permis de progresser tant sur le plan technique que méthodologique.</w:t>
      </w:r>
    </w:p>
    <w:p>
      <w:pPr>
        <w:spacing w:after="80" w:before="80"/>
        <w:jc w:val="both"/>
      </w:pPr>
      <w:r>
        <w:rPr>
          <w:rFonts w:ascii="Arial" w:cs="Arial" w:eastAsia="Arial" w:hAnsi="Arial"/>
          <w:color w:val="1A1A1A"/>
          <w:sz w:val="22"/>
          <w:szCs w:val="22"/>
        </w:rPr>
        <w:t xml:space="preserve">Mes remerciements vont également à l'ensemble des membres de l'équipe Knowledge &amp; Data Management, avec qui j'ai eu la chance de collaborer sur des projets innovants et stimulants. Leur expertise et leur bienveillance ont grandement facilité mon intégration et ma montée en compétences.</w:t>
      </w:r>
    </w:p>
    <w:p>
      <w:pPr>
        <w:spacing w:after="80" w:before="80"/>
        <w:jc w:val="both"/>
      </w:pPr>
      <w:r>
        <w:rPr>
          <w:rFonts w:ascii="Arial" w:cs="Arial" w:eastAsia="Arial" w:hAnsi="Arial"/>
          <w:color w:val="1A1A1A"/>
          <w:sz w:val="22"/>
          <w:szCs w:val="22"/>
        </w:rPr>
        <w:t xml:space="preserve">Enfin, je remercie [établissement] pour la formation qui m'a donné les bases solides nécessaires à la réalisation de ces missions.</w:t>
      </w:r>
    </w:p>
    <w:p>
      <w:pPr>
        <w:spacing w:after="0" w:before="160"/>
      </w:pPr>
      <w:r>
        <w:t xml:space="preserve"/>
      </w:r>
    </w:p>
    <w:p>
      <w:pPr>
        <w:pStyle w:val="Heading1"/>
        <w:pBdr>
          <w:bottom w:val="single" w:color="00965E" w:sz="8" w:space="4"/>
        </w:pBdr>
        <w:spacing w:after="200" w:before="480"/>
      </w:pPr>
      <w:r>
        <w:rPr>
          <w:rFonts w:ascii="Arial" w:cs="Arial" w:eastAsia="Arial" w:hAnsi="Arial"/>
          <w:b/>
          <w:bCs/>
          <w:color w:val="00965E"/>
          <w:sz w:val="32"/>
          <w:szCs w:val="32"/>
        </w:rPr>
        <w:t xml:space="preserve">Sommaire</w:t>
      </w:r>
    </w:p>
    <w:p>
      <w:pPr>
        <w:spacing w:after="80" w:before="80"/>
        <w:ind w:left="0"/>
      </w:pPr>
      <w:r>
        <w:rPr>
          <w:rFonts w:ascii="Arial" w:cs="Arial" w:eastAsia="Arial" w:hAnsi="Arial"/>
          <w:b/>
          <w:bCs/>
          <w:color w:val="00965E"/>
          <w:sz w:val="22"/>
          <w:szCs w:val="22"/>
        </w:rPr>
        <w:t xml:space="preserve">I.  </w:t>
      </w:r>
      <w:r>
        <w:rPr>
          <w:rFonts w:ascii="Arial" w:cs="Arial" w:eastAsia="Arial" w:hAnsi="Arial"/>
          <w:color w:val="1A1A1A"/>
          <w:sz w:val="22"/>
          <w:szCs w:val="22"/>
        </w:rPr>
        <w:t xml:space="preserve">Présentation de l'environnement de stage</w:t>
      </w:r>
    </w:p>
    <w:p>
      <w:pPr>
        <w:spacing w:after="80" w:before="80"/>
        <w:ind w:left="440"/>
      </w:pPr>
      <w:r>
        <w:rPr>
          <w:rFonts w:ascii="Arial" w:cs="Arial" w:eastAsia="Arial" w:hAnsi="Arial"/>
          <w:b/>
          <w:bCs/>
          <w:color w:val="00965E"/>
          <w:sz w:val="22"/>
          <w:szCs w:val="22"/>
        </w:rPr>
        <w:t xml:space="preserve">   1.  </w:t>
      </w:r>
      <w:r>
        <w:rPr>
          <w:rFonts w:ascii="Arial" w:cs="Arial" w:eastAsia="Arial" w:hAnsi="Arial"/>
          <w:color w:val="1A1A1A"/>
          <w:sz w:val="22"/>
          <w:szCs w:val="22"/>
        </w:rPr>
        <w:t xml:space="preserve">BNP Paribas : présentation du groupe</w:t>
      </w:r>
    </w:p>
    <w:p>
      <w:pPr>
        <w:spacing w:after="80" w:before="80"/>
        <w:ind w:left="440"/>
      </w:pPr>
      <w:r>
        <w:rPr>
          <w:rFonts w:ascii="Arial" w:cs="Arial" w:eastAsia="Arial" w:hAnsi="Arial"/>
          <w:b/>
          <w:bCs/>
          <w:color w:val="00965E"/>
          <w:sz w:val="22"/>
          <w:szCs w:val="22"/>
        </w:rPr>
        <w:t xml:space="preserve">   2.  </w:t>
      </w:r>
      <w:r>
        <w:rPr>
          <w:rFonts w:ascii="Arial" w:cs="Arial" w:eastAsia="Arial" w:hAnsi="Arial"/>
          <w:color w:val="1A1A1A"/>
          <w:sz w:val="22"/>
          <w:szCs w:val="22"/>
        </w:rPr>
        <w:t xml:space="preserve">La Direction de la Communication Groupe</w:t>
      </w:r>
    </w:p>
    <w:p>
      <w:pPr>
        <w:spacing w:after="80" w:before="80"/>
        <w:ind w:left="440"/>
      </w:pPr>
      <w:r>
        <w:rPr>
          <w:rFonts w:ascii="Arial" w:cs="Arial" w:eastAsia="Arial" w:hAnsi="Arial"/>
          <w:b/>
          <w:bCs/>
          <w:color w:val="00965E"/>
          <w:sz w:val="22"/>
          <w:szCs w:val="22"/>
        </w:rPr>
        <w:t xml:space="preserve">   3.  </w:t>
      </w:r>
      <w:r>
        <w:rPr>
          <w:rFonts w:ascii="Arial" w:cs="Arial" w:eastAsia="Arial" w:hAnsi="Arial"/>
          <w:color w:val="1A1A1A"/>
          <w:sz w:val="22"/>
          <w:szCs w:val="22"/>
        </w:rPr>
        <w:t xml:space="preserve">Le département Histoire, Société et Prospective</w:t>
      </w:r>
    </w:p>
    <w:p>
      <w:pPr>
        <w:spacing w:after="80" w:before="80"/>
        <w:ind w:left="440"/>
      </w:pPr>
      <w:r>
        <w:rPr>
          <w:rFonts w:ascii="Arial" w:cs="Arial" w:eastAsia="Arial" w:hAnsi="Arial"/>
          <w:b/>
          <w:bCs/>
          <w:color w:val="00965E"/>
          <w:sz w:val="22"/>
          <w:szCs w:val="22"/>
        </w:rPr>
        <w:t xml:space="preserve">   4.  </w:t>
      </w:r>
      <w:r>
        <w:rPr>
          <w:rFonts w:ascii="Arial" w:cs="Arial" w:eastAsia="Arial" w:hAnsi="Arial"/>
          <w:color w:val="1A1A1A"/>
          <w:sz w:val="22"/>
          <w:szCs w:val="22"/>
        </w:rPr>
        <w:t xml:space="preserve">La fonction Knowledge &amp; Data Management</w:t>
      </w:r>
    </w:p>
    <w:p>
      <w:pPr>
        <w:spacing w:after="80" w:before="80"/>
        <w:ind w:left="0"/>
      </w:pPr>
      <w:r>
        <w:rPr>
          <w:rFonts w:ascii="Arial" w:cs="Arial" w:eastAsia="Arial" w:hAnsi="Arial"/>
          <w:b/>
          <w:bCs/>
          <w:color w:val="00965E"/>
          <w:sz w:val="22"/>
          <w:szCs w:val="22"/>
        </w:rPr>
        <w:t xml:space="preserve">II.  </w:t>
      </w:r>
      <w:r>
        <w:rPr>
          <w:rFonts w:ascii="Arial" w:cs="Arial" w:eastAsia="Arial" w:hAnsi="Arial"/>
          <w:color w:val="1A1A1A"/>
          <w:sz w:val="22"/>
          <w:szCs w:val="22"/>
        </w:rPr>
        <w:t xml:space="preserve">Missions réalisées</w:t>
      </w:r>
    </w:p>
    <w:p>
      <w:pPr>
        <w:spacing w:after="80" w:before="80"/>
        <w:ind w:left="440"/>
      </w:pPr>
      <w:r>
        <w:rPr>
          <w:rFonts w:ascii="Arial" w:cs="Arial" w:eastAsia="Arial" w:hAnsi="Arial"/>
          <w:b/>
          <w:bCs/>
          <w:color w:val="00965E"/>
          <w:sz w:val="22"/>
          <w:szCs w:val="22"/>
        </w:rPr>
        <w:t xml:space="preserve">   1.  </w:t>
      </w:r>
      <w:r>
        <w:rPr>
          <w:rFonts w:ascii="Arial" w:cs="Arial" w:eastAsia="Arial" w:hAnsi="Arial"/>
          <w:color w:val="1A1A1A"/>
          <w:sz w:val="22"/>
          <w:szCs w:val="22"/>
        </w:rPr>
        <w:t xml:space="preserve">Automatisation de l'organigramme d'entreprise</w:t>
      </w:r>
    </w:p>
    <w:p>
      <w:pPr>
        <w:spacing w:after="80" w:before="80"/>
        <w:ind w:left="440"/>
      </w:pPr>
      <w:r>
        <w:rPr>
          <w:rFonts w:ascii="Arial" w:cs="Arial" w:eastAsia="Arial" w:hAnsi="Arial"/>
          <w:b/>
          <w:bCs/>
          <w:color w:val="00965E"/>
          <w:sz w:val="22"/>
          <w:szCs w:val="22"/>
        </w:rPr>
        <w:t xml:space="preserve">   2.  </w:t>
      </w:r>
      <w:r>
        <w:rPr>
          <w:rFonts w:ascii="Arial" w:cs="Arial" w:eastAsia="Arial" w:hAnsi="Arial"/>
          <w:color w:val="1A1A1A"/>
          <w:sz w:val="22"/>
          <w:szCs w:val="22"/>
        </w:rPr>
        <w:t xml:space="preserve">Construction de la Knowledge Base sur SharePoint</w:t>
      </w:r>
    </w:p>
    <w:p>
      <w:pPr>
        <w:spacing w:after="80" w:before="80"/>
        <w:ind w:left="440"/>
      </w:pPr>
      <w:r>
        <w:rPr>
          <w:rFonts w:ascii="Arial" w:cs="Arial" w:eastAsia="Arial" w:hAnsi="Arial"/>
          <w:b/>
          <w:bCs/>
          <w:color w:val="00965E"/>
          <w:sz w:val="22"/>
          <w:szCs w:val="22"/>
        </w:rPr>
        <w:t xml:space="preserve">   3.  </w:t>
      </w:r>
      <w:r>
        <w:rPr>
          <w:rFonts w:ascii="Arial" w:cs="Arial" w:eastAsia="Arial" w:hAnsi="Arial"/>
          <w:color w:val="1A1A1A"/>
          <w:sz w:val="22"/>
          <w:szCs w:val="22"/>
        </w:rPr>
        <w:t xml:space="preserve">Projet R&amp;D — Knowledge Graph avec Neo4j (POC)</w:t>
      </w:r>
    </w:p>
    <w:p>
      <w:pPr>
        <w:spacing w:after="80" w:before="80"/>
        <w:ind w:left="440"/>
      </w:pPr>
      <w:r>
        <w:rPr>
          <w:rFonts w:ascii="Arial" w:cs="Arial" w:eastAsia="Arial" w:hAnsi="Arial"/>
          <w:b/>
          <w:bCs/>
          <w:color w:val="00965E"/>
          <w:sz w:val="22"/>
          <w:szCs w:val="22"/>
        </w:rPr>
        <w:t xml:space="preserve">   4.  </w:t>
      </w:r>
      <w:r>
        <w:rPr>
          <w:rFonts w:ascii="Arial" w:cs="Arial" w:eastAsia="Arial" w:hAnsi="Arial"/>
          <w:color w:val="1A1A1A"/>
          <w:sz w:val="22"/>
          <w:szCs w:val="22"/>
        </w:rPr>
        <w:t xml:space="preserve">Interface Chatbot avec Mistral LLM</w:t>
      </w:r>
    </w:p>
    <w:p>
      <w:pPr>
        <w:spacing w:after="80" w:before="80"/>
        <w:ind w:left="0"/>
      </w:pPr>
      <w:r>
        <w:rPr>
          <w:rFonts w:ascii="Arial" w:cs="Arial" w:eastAsia="Arial" w:hAnsi="Arial"/>
          <w:b w:val="false"/>
          <w:bCs w:val="false"/>
          <w:color w:val="1A1A1A"/>
          <w:sz w:val="22"/>
          <w:szCs w:val="22"/>
        </w:rPr>
        <w:t xml:space="preserve">III.  </w:t>
      </w:r>
      <w:r>
        <w:rPr>
          <w:rFonts w:ascii="Arial" w:cs="Arial" w:eastAsia="Arial" w:hAnsi="Arial"/>
          <w:color w:val="1A1A1A"/>
          <w:sz w:val="22"/>
          <w:szCs w:val="22"/>
        </w:rPr>
        <w:t xml:space="preserve">Bilan et apports du stage</w:t>
      </w:r>
    </w:p>
    <w:p>
      <w:pPr>
        <w:spacing w:after="80" w:before="80"/>
        <w:ind w:left="440"/>
      </w:pPr>
      <w:r>
        <w:rPr>
          <w:rFonts w:ascii="Arial" w:cs="Arial" w:eastAsia="Arial" w:hAnsi="Arial"/>
          <w:b/>
          <w:bCs/>
          <w:color w:val="00965E"/>
          <w:sz w:val="22"/>
          <w:szCs w:val="22"/>
        </w:rPr>
        <w:t xml:space="preserve">   1.  </w:t>
      </w:r>
      <w:r>
        <w:rPr>
          <w:rFonts w:ascii="Arial" w:cs="Arial" w:eastAsia="Arial" w:hAnsi="Arial"/>
          <w:color w:val="1A1A1A"/>
          <w:sz w:val="22"/>
          <w:szCs w:val="22"/>
        </w:rPr>
        <w:t xml:space="preserve">Compétences techniques acquises</w:t>
      </w:r>
    </w:p>
    <w:p>
      <w:pPr>
        <w:spacing w:after="80" w:before="80"/>
        <w:ind w:left="440"/>
      </w:pPr>
      <w:r>
        <w:rPr>
          <w:rFonts w:ascii="Arial" w:cs="Arial" w:eastAsia="Arial" w:hAnsi="Arial"/>
          <w:b/>
          <w:bCs/>
          <w:color w:val="00965E"/>
          <w:sz w:val="22"/>
          <w:szCs w:val="22"/>
        </w:rPr>
        <w:t xml:space="preserve">   2.  </w:t>
      </w:r>
      <w:r>
        <w:rPr>
          <w:rFonts w:ascii="Arial" w:cs="Arial" w:eastAsia="Arial" w:hAnsi="Arial"/>
          <w:color w:val="1A1A1A"/>
          <w:sz w:val="22"/>
          <w:szCs w:val="22"/>
        </w:rPr>
        <w:t xml:space="preserve">Compétences transversales</w:t>
      </w:r>
    </w:p>
    <w:p>
      <w:pPr>
        <w:spacing w:after="80" w:before="80"/>
        <w:ind w:left="440"/>
      </w:pPr>
      <w:r>
        <w:rPr>
          <w:rFonts w:ascii="Arial" w:cs="Arial" w:eastAsia="Arial" w:hAnsi="Arial"/>
          <w:b/>
          <w:bCs/>
          <w:color w:val="00965E"/>
          <w:sz w:val="22"/>
          <w:szCs w:val="22"/>
        </w:rPr>
        <w:t xml:space="preserve">   3.  </w:t>
      </w:r>
      <w:r>
        <w:rPr>
          <w:rFonts w:ascii="Arial" w:cs="Arial" w:eastAsia="Arial" w:hAnsi="Arial"/>
          <w:color w:val="1A1A1A"/>
          <w:sz w:val="22"/>
          <w:szCs w:val="22"/>
        </w:rPr>
        <w:t xml:space="preserve">Analyse critique et perspectives</w:t>
      </w:r>
    </w:p>
    <w:p>
      <w:pPr>
        <w:spacing w:after="80" w:before="80"/>
        <w:ind w:left="0"/>
      </w:pPr>
      <w:r>
        <w:rPr>
          <w:rFonts w:ascii="Arial" w:cs="Arial" w:eastAsia="Arial" w:hAnsi="Arial"/>
          <w:b/>
          <w:bCs/>
          <w:color w:val="00965E"/>
          <w:sz w:val="22"/>
          <w:szCs w:val="22"/>
        </w:rPr>
        <w:t xml:space="preserve">IV.  </w:t>
      </w:r>
      <w:r>
        <w:rPr>
          <w:rFonts w:ascii="Arial" w:cs="Arial" w:eastAsia="Arial" w:hAnsi="Arial"/>
          <w:color w:val="1A1A1A"/>
          <w:sz w:val="22"/>
          <w:szCs w:val="22"/>
        </w:rPr>
        <w:t xml:space="preserve">Conclusion</w:t>
      </w:r>
    </w:p>
    <w:p>
      <w:pPr>
        <w:spacing w:after="80" w:before="80"/>
        <w:ind w:left="0"/>
      </w:pPr>
      <w:r>
        <w:rPr>
          <w:rFonts w:ascii="Arial" w:cs="Arial" w:eastAsia="Arial" w:hAnsi="Arial"/>
          <w:b/>
          <w:bCs/>
          <w:color w:val="00965E"/>
          <w:sz w:val="22"/>
          <w:szCs w:val="22"/>
        </w:rPr>
        <w:t xml:space="preserve">V.  </w:t>
      </w:r>
      <w:r>
        <w:rPr>
          <w:rFonts w:ascii="Arial" w:cs="Arial" w:eastAsia="Arial" w:hAnsi="Arial"/>
          <w:color w:val="1A1A1A"/>
          <w:sz w:val="22"/>
          <w:szCs w:val="22"/>
        </w:rPr>
        <w:t xml:space="preserve">Annexes</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Introduction</w:t>
      </w:r>
    </w:p>
    <w:p>
      <w:pPr>
        <w:spacing w:after="80" w:before="80"/>
        <w:jc w:val="both"/>
      </w:pPr>
      <w:r>
        <w:rPr>
          <w:rFonts w:ascii="Arial" w:cs="Arial" w:eastAsia="Arial" w:hAnsi="Arial"/>
          <w:color w:val="1A1A1A"/>
          <w:sz w:val="22"/>
          <w:szCs w:val="22"/>
        </w:rPr>
        <w:t xml:space="preserve">Le présent rapport rend compte de mon stage effectué au sein du département Histoire, Société et Prospective de BNP Paribas, rattaché à la Direction de la Communication Groupe. D'une durée de [X mois], cette expérience m'a permis d'intervenir sur des problématiques concrètes liées à la gestion des connaissances et à la valorisation des données dans un grand groupe bancaire international.</w:t>
      </w:r>
    </w:p>
    <w:p>
      <w:pPr>
        <w:spacing w:after="80" w:before="80"/>
        <w:jc w:val="both"/>
      </w:pPr>
      <w:r>
        <w:rPr>
          <w:rFonts w:ascii="Arial" w:cs="Arial" w:eastAsia="Arial" w:hAnsi="Arial"/>
          <w:color w:val="1A1A1A"/>
          <w:sz w:val="22"/>
          <w:szCs w:val="22"/>
        </w:rPr>
        <w:t xml:space="preserve">Dans un contexte de transformation digitale accélérée, la gestion de l'information et des savoirs institutionnels représente un enjeu stratégique majeur. BNP Paribas s'engage dans cette démarche à travers des projets innovants combinant structuration des données, graphes de connaissances et intelligence artificielle.</w:t>
      </w:r>
    </w:p>
    <w:p>
      <w:pPr>
        <w:spacing w:after="80" w:before="80"/>
        <w:jc w:val="both"/>
      </w:pPr>
      <w:r>
        <w:rPr>
          <w:rFonts w:ascii="Arial" w:cs="Arial" w:eastAsia="Arial" w:hAnsi="Arial"/>
          <w:color w:val="1A1A1A"/>
          <w:sz w:val="22"/>
          <w:szCs w:val="22"/>
        </w:rPr>
        <w:t xml:space="preserve">Mes missions se sont articulées autour de quatre axes principaux : l'automatisation de l'organigramme du groupe, la construction d'une Knowledge Base structurée sur SharePoint, le développement d'un Knowledge Graph sous Neo4j dans le cadre d'un projet R&amp;D (POC), et enfin la création d'une interface Chatbot connectée à un modèle de langage (Mistral LLM) pour exploiter et améliorer ce graphe de connaissances.</w:t>
      </w:r>
    </w:p>
    <w:p>
      <w:pPr>
        <w:spacing w:after="80" w:before="80"/>
        <w:jc w:val="both"/>
      </w:pPr>
      <w:r>
        <w:rPr>
          <w:rFonts w:ascii="Arial" w:cs="Arial" w:eastAsia="Arial" w:hAnsi="Arial"/>
          <w:color w:val="1A1A1A"/>
          <w:sz w:val="22"/>
          <w:szCs w:val="22"/>
        </w:rPr>
        <w:t xml:space="preserve">Ce rapport présente successivement l'environnement dans lequel s'est déroulé le stage, le détail des missions accomplies, ainsi qu'un bilan des apprentissages et des perspectives ouvertes par ces travaux.</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I. Présentation de l'environnement de stage</w:t>
      </w:r>
    </w:p>
    <w:p>
      <w:pPr>
        <w:pStyle w:val="Heading2"/>
        <w:spacing w:after="160" w:before="320"/>
      </w:pPr>
      <w:r>
        <w:rPr>
          <w:rFonts w:ascii="Arial" w:cs="Arial" w:eastAsia="Arial" w:hAnsi="Arial"/>
          <w:b/>
          <w:bCs/>
          <w:color w:val="1A1A1A"/>
          <w:sz w:val="26"/>
          <w:szCs w:val="26"/>
        </w:rPr>
        <w:t xml:space="preserve">1. BNP Paribas : présentation du groupe</w:t>
      </w:r>
    </w:p>
    <w:p>
      <w:pPr>
        <w:spacing w:after="80" w:before="80"/>
        <w:jc w:val="both"/>
      </w:pPr>
      <w:r>
        <w:rPr>
          <w:rFonts w:ascii="Arial" w:cs="Arial" w:eastAsia="Arial" w:hAnsi="Arial"/>
          <w:color w:val="1A1A1A"/>
          <w:sz w:val="22"/>
          <w:szCs w:val="22"/>
        </w:rPr>
        <w:t xml:space="preserve">BNP Paribas est l'un des principaux groupes bancaires et financiers mondiaux, présent dans plus de 65 pays et employant près de 190 000 collaborateurs. Fondé en 2000 par la fusion de la Banque Nationale de Paris et de Paribas, le groupe offre une gamme complète de services bancaires et financiers aux particuliers, entreprises et institutionnels.</w:t>
      </w:r>
    </w:p>
    <w:p>
      <w:pPr>
        <w:spacing w:after="80" w:before="80"/>
        <w:jc w:val="both"/>
      </w:pPr>
      <w:r>
        <w:rPr>
          <w:rFonts w:ascii="Arial" w:cs="Arial" w:eastAsia="Arial" w:hAnsi="Arial"/>
          <w:color w:val="1A1A1A"/>
          <w:sz w:val="22"/>
          <w:szCs w:val="22"/>
        </w:rPr>
        <w:t xml:space="preserve">Le groupe est organisé autour de plusieurs pôles d'activité : la Banque de détail en France (BDF), la Banque Commerciale et Personnelle à l'International (BCPE), la Banque de Grande Clientèle et Solutions Institutionnelles (BGCSI) et Corporate &amp; Institutional Banking (CIB). Cette organisation reflète l'ambition du groupe de couvrir l'ensemble du spectre des besoins financiers, de la gestion d'actifs aux solutions de financement complexes.</w:t>
      </w:r>
    </w:p>
    <w:p>
      <w:pPr>
        <w:pStyle w:val="Heading2"/>
        <w:spacing w:after="160" w:before="320"/>
      </w:pPr>
      <w:r>
        <w:rPr>
          <w:rFonts w:ascii="Arial" w:cs="Arial" w:eastAsia="Arial" w:hAnsi="Arial"/>
          <w:b/>
          <w:bCs/>
          <w:color w:val="1A1A1A"/>
          <w:sz w:val="26"/>
          <w:szCs w:val="26"/>
        </w:rPr>
        <w:t xml:space="preserve">2. La Direction de la Communication Groupe</w:t>
      </w:r>
    </w:p>
    <w:p>
      <w:pPr>
        <w:spacing w:after="80" w:before="80"/>
        <w:jc w:val="both"/>
      </w:pPr>
      <w:r>
        <w:rPr>
          <w:rFonts w:ascii="Arial" w:cs="Arial" w:eastAsia="Arial" w:hAnsi="Arial"/>
          <w:color w:val="1A1A1A"/>
          <w:sz w:val="22"/>
          <w:szCs w:val="22"/>
        </w:rPr>
        <w:t xml:space="preserve">La Direction de la Communication Groupe est chargée de définir et de mettre en œuvre la stratégie de communication institutionnelle de BNP Paribas. Elle pilote la réputation et l'image du groupe auprès de l'ensemble de ses parties prenantes : clients, actionnaires, médias, collaborateurs et grand public.</w:t>
      </w:r>
    </w:p>
    <w:p>
      <w:pPr>
        <w:spacing w:after="80" w:before="80"/>
        <w:jc w:val="both"/>
      </w:pPr>
      <w:r>
        <w:rPr>
          <w:rFonts w:ascii="Arial" w:cs="Arial" w:eastAsia="Arial" w:hAnsi="Arial"/>
          <w:color w:val="1A1A1A"/>
          <w:sz w:val="22"/>
          <w:szCs w:val="22"/>
        </w:rPr>
        <w:t xml:space="preserve">Elle coordonne les différentes directions de communication des entités du groupe et assure la cohérence du discours institutionnel à l'échelle internationale. Ses missions couvrent la communication financière, les relations presse, la communication interne, le digital, ainsi que les activités de mécénat et de responsabilité sociale.</w:t>
      </w:r>
    </w:p>
    <w:p>
      <w:pPr>
        <w:pStyle w:val="Heading2"/>
        <w:spacing w:after="160" w:before="320"/>
      </w:pPr>
      <w:r>
        <w:rPr>
          <w:rFonts w:ascii="Arial" w:cs="Arial" w:eastAsia="Arial" w:hAnsi="Arial"/>
          <w:b/>
          <w:bCs/>
          <w:color w:val="1A1A1A"/>
          <w:sz w:val="26"/>
          <w:szCs w:val="26"/>
        </w:rPr>
        <w:t xml:space="preserve">3. Le département Histoire, Société et Prospective</w:t>
      </w:r>
    </w:p>
    <w:p>
      <w:pPr>
        <w:spacing w:after="80" w:before="80"/>
        <w:jc w:val="both"/>
      </w:pPr>
      <w:r>
        <w:rPr>
          <w:rFonts w:ascii="Arial" w:cs="Arial" w:eastAsia="Arial" w:hAnsi="Arial"/>
          <w:color w:val="1A1A1A"/>
          <w:sz w:val="22"/>
          <w:szCs w:val="22"/>
        </w:rPr>
        <w:t xml:space="preserve">Le département Histoire, Société et Prospective occupe une position singulière au sein de la Direction de la Communication Groupe. Il est chargé de valoriser le patrimoine historique et mémoriel du groupe, de produire des analyses prospectives sur les grandes tendances sociales et économiques, et de nourrir la réflexion stratégique de l'institution.</w:t>
      </w:r>
    </w:p>
    <w:p>
      <w:pPr>
        <w:spacing w:after="80" w:before="80"/>
        <w:jc w:val="both"/>
      </w:pPr>
      <w:r>
        <w:rPr>
          <w:rFonts w:ascii="Arial" w:cs="Arial" w:eastAsia="Arial" w:hAnsi="Arial"/>
          <w:color w:val="1A1A1A"/>
          <w:sz w:val="22"/>
          <w:szCs w:val="22"/>
        </w:rPr>
        <w:t xml:space="preserve">Ce département s'appuie sur un fonds documentaire riche et sur des expertises interdisciplinaires (histoire, économie, sciences sociales) pour alimenter les différentes directions en contenus à forte valeur ajoutée. Il joue également un rôle de mise en réseau des savoirs internes et externes au groupe.</w:t>
      </w:r>
    </w:p>
    <w:p>
      <w:pPr>
        <w:pStyle w:val="Heading2"/>
        <w:spacing w:after="160" w:before="320"/>
      </w:pPr>
      <w:r>
        <w:rPr>
          <w:rFonts w:ascii="Arial" w:cs="Arial" w:eastAsia="Arial" w:hAnsi="Arial"/>
          <w:b/>
          <w:bCs/>
          <w:color w:val="1A1A1A"/>
          <w:sz w:val="26"/>
          <w:szCs w:val="26"/>
        </w:rPr>
        <w:t xml:space="preserve">4. La fonction Knowledge &amp; Data Management</w:t>
      </w:r>
    </w:p>
    <w:p>
      <w:pPr>
        <w:spacing w:after="80" w:before="80"/>
        <w:jc w:val="both"/>
      </w:pPr>
      <w:r>
        <w:rPr>
          <w:rFonts w:ascii="Arial" w:cs="Arial" w:eastAsia="Arial" w:hAnsi="Arial"/>
          <w:color w:val="1A1A1A"/>
          <w:sz w:val="22"/>
          <w:szCs w:val="22"/>
        </w:rPr>
        <w:t xml:space="preserve">Au cœur de ce département, la fonction Knowledge &amp; Data Management (KDM) est responsable de la structuration, de la capitalisation et de la mise en accessibilité des connaissances produites ou détenues par le département. Elle vise à transformer des données et documents épars en un patrimoine informationnel cohérent, exploitable et pérenne.</w:t>
      </w:r>
    </w:p>
    <w:p>
      <w:pPr>
        <w:spacing w:after="80" w:before="80"/>
        <w:jc w:val="both"/>
      </w:pPr>
      <w:r>
        <w:rPr>
          <w:rFonts w:ascii="Arial" w:cs="Arial" w:eastAsia="Arial" w:hAnsi="Arial"/>
          <w:color w:val="1A1A1A"/>
          <w:sz w:val="22"/>
          <w:szCs w:val="22"/>
        </w:rPr>
        <w:t xml:space="preserve">Cette fonction répond à des enjeux organisationnels concrets : éviter la perte de savoir lors des mouvements de personnel, faciliter la recherche d'information, et ouvrir de nouvelles perspectives analytiques grâce aux technologies de graphe et d'intelligence artificielle.</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II. Missions réalisées</w:t>
      </w:r>
    </w:p>
    <w:p>
      <w:pPr>
        <w:pStyle w:val="Heading2"/>
        <w:spacing w:after="160" w:before="320"/>
      </w:pPr>
      <w:r>
        <w:rPr>
          <w:rFonts w:ascii="Arial" w:cs="Arial" w:eastAsia="Arial" w:hAnsi="Arial"/>
          <w:b/>
          <w:bCs/>
          <w:color w:val="1A1A1A"/>
          <w:sz w:val="26"/>
          <w:szCs w:val="26"/>
        </w:rPr>
        <w:t xml:space="preserve">1. Automatisation de l'organigramme d'entreprise</w:t>
      </w:r>
    </w:p>
    <w:p>
      <w:pPr>
        <w:spacing w:after="120" w:before="240"/>
      </w:pPr>
      <w:r>
        <w:rPr>
          <w:rFonts w:ascii="Arial" w:cs="Arial" w:eastAsia="Arial" w:hAnsi="Arial"/>
          <w:b/>
          <w:bCs/>
          <w:color w:val="00965E"/>
          <w:sz w:val="24"/>
          <w:szCs w:val="24"/>
        </w:rPr>
        <w:t xml:space="preserve">Contexte et enjeux</w:t>
      </w:r>
    </w:p>
    <w:p>
      <w:pPr>
        <w:spacing w:after="80" w:before="80"/>
        <w:jc w:val="both"/>
      </w:pPr>
      <w:r>
        <w:rPr>
          <w:rFonts w:ascii="Arial" w:cs="Arial" w:eastAsia="Arial" w:hAnsi="Arial"/>
          <w:color w:val="1A1A1A"/>
          <w:sz w:val="22"/>
          <w:szCs w:val="22"/>
        </w:rPr>
        <w:t xml:space="preserve">L'organigramme d'un groupe de la taille de BNP Paribas est par nature un document vivant, soumis à de fréquentes évolutions (nominations, reorganisations, départs). Sa mise à jour manuelle représentait une charge de travail significative et une source d'erreurs. L'objectif de cette mission était de concevoir un processus automatisé permettant de générer et de maintenir à jour l'organigramme du département, à partir de données structurées.</w:t>
      </w:r>
    </w:p>
    <w:p>
      <w:pPr>
        <w:spacing w:after="120" w:before="240"/>
      </w:pPr>
      <w:r>
        <w:rPr>
          <w:rFonts w:ascii="Arial" w:cs="Arial" w:eastAsia="Arial" w:hAnsi="Arial"/>
          <w:b/>
          <w:bCs/>
          <w:color w:val="00965E"/>
          <w:sz w:val="24"/>
          <w:szCs w:val="24"/>
        </w:rPr>
        <w:t xml:space="preserve">Méthodologie et réalisation</w:t>
      </w:r>
    </w:p>
    <w:p>
      <w:pPr>
        <w:spacing w:after="80" w:before="80"/>
        <w:jc w:val="both"/>
      </w:pPr>
      <w:r>
        <w:rPr>
          <w:rFonts w:ascii="Arial" w:cs="Arial" w:eastAsia="Arial" w:hAnsi="Arial"/>
          <w:color w:val="1A1A1A"/>
          <w:sz w:val="22"/>
          <w:szCs w:val="22"/>
        </w:rPr>
        <w:t xml:space="preserve">La mission s'est déroulée en plusieurs étapes :</w:t>
      </w:r>
    </w:p>
    <w:p>
      <w:pPr>
        <w:pStyle w:val="ListParagraph"/>
        <w:numPr>
          <w:ilvl w:val="0"/>
          <w:numId w:val="2"/>
        </w:numPr>
        <w:spacing w:after="60" w:before="60"/>
      </w:pPr>
      <w:r>
        <w:rPr>
          <w:rFonts w:ascii="Arial" w:cs="Arial" w:eastAsia="Arial" w:hAnsi="Arial"/>
          <w:color w:val="1A1A1A"/>
          <w:sz w:val="22"/>
          <w:szCs w:val="22"/>
        </w:rPr>
        <w:t xml:space="preserve">Audit de l'existant</w:t>
      </w:r>
      <w:r>
        <w:rPr>
          <w:rFonts w:ascii="Arial" w:cs="Arial" w:eastAsia="Arial" w:hAnsi="Arial"/>
          <w:i/>
          <w:iCs/>
          <w:color w:val="555555"/>
          <w:sz w:val="22"/>
          <w:szCs w:val="22"/>
        </w:rPr>
        <w:t xml:space="preserve"> — analyse des sources de données disponibles (répertoires RH, outils internes) et des formats utilisés</w:t>
      </w:r>
    </w:p>
    <w:p>
      <w:pPr>
        <w:pStyle w:val="ListParagraph"/>
        <w:numPr>
          <w:ilvl w:val="0"/>
          <w:numId w:val="2"/>
        </w:numPr>
        <w:spacing w:after="60" w:before="60"/>
      </w:pPr>
      <w:r>
        <w:rPr>
          <w:rFonts w:ascii="Arial" w:cs="Arial" w:eastAsia="Arial" w:hAnsi="Arial"/>
          <w:color w:val="1A1A1A"/>
          <w:sz w:val="22"/>
          <w:szCs w:val="22"/>
        </w:rPr>
        <w:t xml:space="preserve">Définition du modèle de données</w:t>
      </w:r>
      <w:r>
        <w:rPr>
          <w:rFonts w:ascii="Arial" w:cs="Arial" w:eastAsia="Arial" w:hAnsi="Arial"/>
          <w:i/>
          <w:iCs/>
          <w:color w:val="555555"/>
          <w:sz w:val="22"/>
          <w:szCs w:val="22"/>
        </w:rPr>
        <w:t xml:space="preserve"> — identification des entités (personnes, postes, équipes, hiérarchies) et de leurs relations</w:t>
      </w:r>
    </w:p>
    <w:p>
      <w:pPr>
        <w:pStyle w:val="ListParagraph"/>
        <w:numPr>
          <w:ilvl w:val="0"/>
          <w:numId w:val="2"/>
        </w:numPr>
        <w:spacing w:after="60" w:before="60"/>
      </w:pPr>
      <w:r>
        <w:rPr>
          <w:rFonts w:ascii="Arial" w:cs="Arial" w:eastAsia="Arial" w:hAnsi="Arial"/>
          <w:color w:val="1A1A1A"/>
          <w:sz w:val="22"/>
          <w:szCs w:val="22"/>
        </w:rPr>
        <w:t xml:space="preserve">Développement du script d'automatisation</w:t>
      </w:r>
      <w:r>
        <w:rPr>
          <w:rFonts w:ascii="Arial" w:cs="Arial" w:eastAsia="Arial" w:hAnsi="Arial"/>
          <w:i/>
          <w:iCs/>
          <w:color w:val="555555"/>
          <w:sz w:val="22"/>
          <w:szCs w:val="22"/>
        </w:rPr>
        <w:t xml:space="preserve"> — mise en place d'un processus de génération dynamique de l'organigramme à partir de la source de données</w:t>
      </w:r>
    </w:p>
    <w:p>
      <w:pPr>
        <w:pStyle w:val="ListParagraph"/>
        <w:numPr>
          <w:ilvl w:val="0"/>
          <w:numId w:val="2"/>
        </w:numPr>
        <w:spacing w:after="60" w:before="60"/>
      </w:pPr>
      <w:r>
        <w:rPr>
          <w:rFonts w:ascii="Arial" w:cs="Arial" w:eastAsia="Arial" w:hAnsi="Arial"/>
          <w:color w:val="1A1A1A"/>
          <w:sz w:val="22"/>
          <w:szCs w:val="22"/>
        </w:rPr>
        <w:t xml:space="preserve">Intégration et tests</w:t>
      </w:r>
      <w:r>
        <w:rPr>
          <w:rFonts w:ascii="Arial" w:cs="Arial" w:eastAsia="Arial" w:hAnsi="Arial"/>
          <w:i/>
          <w:iCs/>
          <w:color w:val="555555"/>
          <w:sz w:val="22"/>
          <w:szCs w:val="22"/>
        </w:rPr>
        <w:t xml:space="preserve"> — validation du rendu et ajustements en concertation avec les équipes</w:t>
      </w:r>
    </w:p>
    <w:p>
      <w:pPr>
        <w:spacing w:after="120" w:before="240"/>
      </w:pPr>
      <w:r>
        <w:rPr>
          <w:rFonts w:ascii="Arial" w:cs="Arial" w:eastAsia="Arial" w:hAnsi="Arial"/>
          <w:b/>
          <w:bCs/>
          <w:color w:val="00965E"/>
          <w:sz w:val="24"/>
          <w:szCs w:val="24"/>
        </w:rPr>
        <w:t xml:space="preserve">Résultats</w:t>
      </w:r>
    </w:p>
    <w:p>
      <w:pPr>
        <w:spacing w:after="80" w:before="80"/>
        <w:jc w:val="both"/>
      </w:pPr>
      <w:r>
        <w:rPr>
          <w:rFonts w:ascii="Arial" w:cs="Arial" w:eastAsia="Arial" w:hAnsi="Arial"/>
          <w:color w:val="1A1A1A"/>
          <w:sz w:val="22"/>
          <w:szCs w:val="22"/>
        </w:rPr>
        <w:t xml:space="preserve">Ce travail a permis de réduire considérablement le temps de mise à jour de l'organigramme et d'améliorer la fiabilité des informations diffusées en interne. Il constitue également un premier pas vers une gestion plus dynamique des données organisationnelles du département.</w:t>
      </w:r>
    </w:p>
    <w:p>
      <w:pPr>
        <w:spacing w:after="0" w:before="80"/>
      </w:pPr>
      <w:r>
        <w:t xml:space="preserve"/>
      </w:r>
    </w:p>
    <w:p>
      <w:pPr>
        <w:pStyle w:val="Heading2"/>
        <w:spacing w:after="160" w:before="320"/>
      </w:pPr>
      <w:r>
        <w:rPr>
          <w:rFonts w:ascii="Arial" w:cs="Arial" w:eastAsia="Arial" w:hAnsi="Arial"/>
          <w:b/>
          <w:bCs/>
          <w:color w:val="1A1A1A"/>
          <w:sz w:val="26"/>
          <w:szCs w:val="26"/>
        </w:rPr>
        <w:t xml:space="preserve">2. Construction de la Knowledge Base sur SharePoint</w:t>
      </w:r>
    </w:p>
    <w:p>
      <w:pPr>
        <w:spacing w:after="120" w:before="240"/>
      </w:pPr>
      <w:r>
        <w:rPr>
          <w:rFonts w:ascii="Arial" w:cs="Arial" w:eastAsia="Arial" w:hAnsi="Arial"/>
          <w:b/>
          <w:bCs/>
          <w:color w:val="00965E"/>
          <w:sz w:val="24"/>
          <w:szCs w:val="24"/>
        </w:rPr>
        <w:t xml:space="preserve">Contexte et enjeux</w:t>
      </w:r>
    </w:p>
    <w:p>
      <w:pPr>
        <w:spacing w:after="80" w:before="80"/>
        <w:jc w:val="both"/>
      </w:pPr>
      <w:r>
        <w:rPr>
          <w:rFonts w:ascii="Arial" w:cs="Arial" w:eastAsia="Arial" w:hAnsi="Arial"/>
          <w:color w:val="1A1A1A"/>
          <w:sz w:val="22"/>
          <w:szCs w:val="22"/>
        </w:rPr>
        <w:t xml:space="preserve">Le département Histoire, Société et Prospective produit et reçoit un volume important de documents, études, notes et ressources diverses. L'absence d'un référentiel structuré rendait difficile la capitalisation des connaissances et la réutilisation des travaux existants. La mission consistait à construire une base de connaissances (Knowledge Base) sur Microsoft SharePoint, permettant d'organiser, d'indexer et de rendre accessibles ces ressources.</w:t>
      </w:r>
    </w:p>
    <w:p>
      <w:pPr>
        <w:spacing w:after="120" w:before="240"/>
      </w:pPr>
      <w:r>
        <w:rPr>
          <w:rFonts w:ascii="Arial" w:cs="Arial" w:eastAsia="Arial" w:hAnsi="Arial"/>
          <w:b/>
          <w:bCs/>
          <w:color w:val="00965E"/>
          <w:sz w:val="24"/>
          <w:szCs w:val="24"/>
        </w:rPr>
        <w:t xml:space="preserve">Approche et structuration</w:t>
      </w:r>
    </w:p>
    <w:p>
      <w:pPr>
        <w:spacing w:after="80" w:before="80"/>
        <w:jc w:val="both"/>
      </w:pPr>
      <w:r>
        <w:rPr>
          <w:rFonts w:ascii="Arial" w:cs="Arial" w:eastAsia="Arial" w:hAnsi="Arial"/>
          <w:color w:val="1A1A1A"/>
          <w:sz w:val="22"/>
          <w:szCs w:val="22"/>
        </w:rPr>
        <w:t xml:space="preserve">La démarche adoptée a combiné réflexion taxonomique et implémentation technique :</w:t>
      </w:r>
    </w:p>
    <w:p>
      <w:pPr>
        <w:pStyle w:val="ListParagraph"/>
        <w:numPr>
          <w:ilvl w:val="0"/>
          <w:numId w:val="2"/>
        </w:numPr>
        <w:spacing w:after="60" w:before="60"/>
      </w:pPr>
      <w:r>
        <w:rPr>
          <w:rFonts w:ascii="Arial" w:cs="Arial" w:eastAsia="Arial" w:hAnsi="Arial"/>
          <w:color w:val="1A1A1A"/>
          <w:sz w:val="22"/>
          <w:szCs w:val="22"/>
        </w:rPr>
        <w:t xml:space="preserve">Analyse des besoins</w:t>
      </w:r>
      <w:r>
        <w:rPr>
          <w:rFonts w:ascii="Arial" w:cs="Arial" w:eastAsia="Arial" w:hAnsi="Arial"/>
          <w:i/>
          <w:iCs/>
          <w:color w:val="555555"/>
          <w:sz w:val="22"/>
          <w:szCs w:val="22"/>
        </w:rPr>
        <w:t xml:space="preserve"> — ateliers avec les membres de l'équipe pour identifier les typologies documentaires et les usages attendus</w:t>
      </w:r>
    </w:p>
    <w:p>
      <w:pPr>
        <w:pStyle w:val="ListParagraph"/>
        <w:numPr>
          <w:ilvl w:val="0"/>
          <w:numId w:val="2"/>
        </w:numPr>
        <w:spacing w:after="60" w:before="60"/>
      </w:pPr>
      <w:r>
        <w:rPr>
          <w:rFonts w:ascii="Arial" w:cs="Arial" w:eastAsia="Arial" w:hAnsi="Arial"/>
          <w:color w:val="1A1A1A"/>
          <w:sz w:val="22"/>
          <w:szCs w:val="22"/>
        </w:rPr>
        <w:t xml:space="preserve">Définition de l'architecture de l'information</w:t>
      </w:r>
      <w:r>
        <w:rPr>
          <w:rFonts w:ascii="Arial" w:cs="Arial" w:eastAsia="Arial" w:hAnsi="Arial"/>
          <w:i/>
          <w:iCs/>
          <w:color w:val="555555"/>
          <w:sz w:val="22"/>
          <w:szCs w:val="22"/>
        </w:rPr>
        <w:t xml:space="preserve"> — création d'une taxonomie et d'un plan de classement adaptés aux activités du département</w:t>
      </w:r>
    </w:p>
    <w:p>
      <w:pPr>
        <w:pStyle w:val="ListParagraph"/>
        <w:numPr>
          <w:ilvl w:val="0"/>
          <w:numId w:val="2"/>
        </w:numPr>
        <w:spacing w:after="60" w:before="60"/>
      </w:pPr>
      <w:r>
        <w:rPr>
          <w:rFonts w:ascii="Arial" w:cs="Arial" w:eastAsia="Arial" w:hAnsi="Arial"/>
          <w:color w:val="1A1A1A"/>
          <w:sz w:val="22"/>
          <w:szCs w:val="22"/>
        </w:rPr>
        <w:t xml:space="preserve">Structuration des données et métadonnées</w:t>
      </w:r>
      <w:r>
        <w:rPr>
          <w:rFonts w:ascii="Arial" w:cs="Arial" w:eastAsia="Arial" w:hAnsi="Arial"/>
          <w:i/>
          <w:iCs/>
          <w:color w:val="555555"/>
          <w:sz w:val="22"/>
          <w:szCs w:val="22"/>
        </w:rPr>
        <w:t xml:space="preserve"> — définition des métadonnées associées à chaque type de ressource (auteur, date, thématique, mots-clés, entités citées, etc.)</w:t>
      </w:r>
    </w:p>
    <w:p>
      <w:pPr>
        <w:pStyle w:val="ListParagraph"/>
        <w:numPr>
          <w:ilvl w:val="0"/>
          <w:numId w:val="2"/>
        </w:numPr>
        <w:spacing w:after="60" w:before="60"/>
      </w:pPr>
      <w:r>
        <w:rPr>
          <w:rFonts w:ascii="Arial" w:cs="Arial" w:eastAsia="Arial" w:hAnsi="Arial"/>
          <w:color w:val="1A1A1A"/>
          <w:sz w:val="22"/>
          <w:szCs w:val="22"/>
        </w:rPr>
        <w:t xml:space="preserve">Alimentation de la base</w:t>
      </w:r>
      <w:r>
        <w:rPr>
          <w:rFonts w:ascii="Arial" w:cs="Arial" w:eastAsia="Arial" w:hAnsi="Arial"/>
          <w:i/>
          <w:iCs/>
          <w:color w:val="555555"/>
          <w:sz w:val="22"/>
          <w:szCs w:val="22"/>
        </w:rPr>
        <w:t xml:space="preserve"> — saisie et organisation des ressources existantes selon le nouveau référentiel</w:t>
      </w:r>
    </w:p>
    <w:p>
      <w:pPr>
        <w:pStyle w:val="ListParagraph"/>
        <w:numPr>
          <w:ilvl w:val="0"/>
          <w:numId w:val="2"/>
        </w:numPr>
        <w:spacing w:after="60" w:before="60"/>
      </w:pPr>
      <w:r>
        <w:rPr>
          <w:rFonts w:ascii="Arial" w:cs="Arial" w:eastAsia="Arial" w:hAnsi="Arial"/>
          <w:color w:val="1A1A1A"/>
          <w:sz w:val="22"/>
          <w:szCs w:val="22"/>
        </w:rPr>
        <w:t xml:space="preserve">Documentation et formation</w:t>
      </w:r>
      <w:r>
        <w:rPr>
          <w:rFonts w:ascii="Arial" w:cs="Arial" w:eastAsia="Arial" w:hAnsi="Arial"/>
          <w:i/>
          <w:iCs/>
          <w:color w:val="555555"/>
          <w:sz w:val="22"/>
          <w:szCs w:val="22"/>
        </w:rPr>
        <w:t xml:space="preserve"> — rédaction des guides d'utilisation et accompagnement des utilisateurs</w:t>
      </w:r>
    </w:p>
    <w:p>
      <w:pPr>
        <w:spacing w:after="120" w:before="240"/>
      </w:pPr>
      <w:r>
        <w:rPr>
          <w:rFonts w:ascii="Arial" w:cs="Arial" w:eastAsia="Arial" w:hAnsi="Arial"/>
          <w:b/>
          <w:bCs/>
          <w:color w:val="00965E"/>
          <w:sz w:val="24"/>
          <w:szCs w:val="24"/>
        </w:rPr>
        <w:t xml:space="preserve">Résultats</w:t>
      </w:r>
    </w:p>
    <w:p>
      <w:pPr>
        <w:spacing w:after="80" w:before="80"/>
        <w:jc w:val="both"/>
      </w:pPr>
      <w:r>
        <w:rPr>
          <w:rFonts w:ascii="Arial" w:cs="Arial" w:eastAsia="Arial" w:hAnsi="Arial"/>
          <w:color w:val="1A1A1A"/>
          <w:sz w:val="22"/>
          <w:szCs w:val="22"/>
        </w:rPr>
        <w:t xml:space="preserve">La Knowledge Base ainsi construite offre un point d'entrée unique et structuré pour l'ensemble des ressources du département. La richesse des métadonnées associées à chaque ressource constitue par ailleurs une matière première essentielle pour les projets ultérieurs de Knowledge Graph et d'intelligence artificielle.</w:t>
      </w:r>
    </w:p>
    <w:p>
      <w:pPr>
        <w:spacing w:after="0" w:before="80"/>
      </w:pPr>
      <w:r>
        <w:t xml:space="preserve"/>
      </w:r>
    </w:p>
    <w:p>
      <w:pPr>
        <w:pStyle w:val="Heading2"/>
        <w:spacing w:after="160" w:before="320"/>
      </w:pPr>
      <w:r>
        <w:rPr>
          <w:rFonts w:ascii="Arial" w:cs="Arial" w:eastAsia="Arial" w:hAnsi="Arial"/>
          <w:b/>
          <w:bCs/>
          <w:color w:val="1A1A1A"/>
          <w:sz w:val="26"/>
          <w:szCs w:val="26"/>
        </w:rPr>
        <w:t xml:space="preserve">3. Projet R&amp;D — Knowledge Graph avec Neo4j (POC)</w:t>
      </w:r>
    </w:p>
    <w:p>
      <w:pPr>
        <w:spacing w:after="120" w:before="240"/>
      </w:pPr>
      <w:r>
        <w:rPr>
          <w:rFonts w:ascii="Arial" w:cs="Arial" w:eastAsia="Arial" w:hAnsi="Arial"/>
          <w:b/>
          <w:bCs/>
          <w:color w:val="00965E"/>
          <w:sz w:val="24"/>
          <w:szCs w:val="24"/>
        </w:rPr>
        <w:t xml:space="preserve">Contexte et enjeux</w:t>
      </w:r>
    </w:p>
    <w:p>
      <w:pPr>
        <w:spacing w:after="80" w:before="80"/>
        <w:jc w:val="both"/>
      </w:pPr>
      <w:r>
        <w:rPr>
          <w:rFonts w:ascii="Arial" w:cs="Arial" w:eastAsia="Arial" w:hAnsi="Arial"/>
          <w:color w:val="1A1A1A"/>
          <w:sz w:val="22"/>
          <w:szCs w:val="22"/>
        </w:rPr>
        <w:t xml:space="preserve">Fort de la base de connaissances structurée, une réflexion a émergé sur la possibilité de représenter et d'explorer les relations entre les différentes ressources et entités de manière plus riche qu'un simple classement hiérarchique. Un projet de Proof of Concept (POC) a été initié pour construire un Knowledge Graph (graphe de connaissances) à partir des données et métadonnées de la Knowledge Base.</w:t>
      </w:r>
    </w:p>
    <w:p>
      <w:pPr>
        <w:spacing w:after="80" w:before="80"/>
        <w:jc w:val="both"/>
      </w:pPr>
      <w:r>
        <w:rPr>
          <w:rFonts w:ascii="Arial" w:cs="Arial" w:eastAsia="Arial" w:hAnsi="Arial"/>
          <w:color w:val="1A1A1A"/>
          <w:sz w:val="22"/>
          <w:szCs w:val="22"/>
        </w:rPr>
        <w:t xml:space="preserve">Un Knowledge Graph modélise les connaissances sous forme de nœuds (entités) et d'arêtes (relations), permettant de naviguer dans l'information de façon contextuelle et sémantique. Neo4j, base de données orientée graphe leader du marché, a été retenu comme technologie de référence pour ce projet.</w:t>
      </w:r>
    </w:p>
    <w:p>
      <w:pPr>
        <w:spacing w:after="120" w:before="240"/>
      </w:pPr>
      <w:r>
        <w:rPr>
          <w:rFonts w:ascii="Arial" w:cs="Arial" w:eastAsia="Arial" w:hAnsi="Arial"/>
          <w:b/>
          <w:bCs/>
          <w:color w:val="00965E"/>
          <w:sz w:val="24"/>
          <w:szCs w:val="24"/>
        </w:rPr>
        <w:t xml:space="preserve">Architecture et réalisation</w:t>
      </w:r>
    </w:p>
    <w:p>
      <w:pPr>
        <w:spacing w:after="80" w:before="80"/>
        <w:jc w:val="both"/>
      </w:pPr>
      <w:r>
        <w:rPr>
          <w:rFonts w:ascii="Arial" w:cs="Arial" w:eastAsia="Arial" w:hAnsi="Arial"/>
          <w:color w:val="1A1A1A"/>
          <w:sz w:val="22"/>
          <w:szCs w:val="22"/>
        </w:rPr>
        <w:t xml:space="preserve">Le POC a été construit selon les étapes suivantes :</w:t>
      </w:r>
    </w:p>
    <w:p>
      <w:pPr>
        <w:pStyle w:val="ListParagraph"/>
        <w:numPr>
          <w:ilvl w:val="0"/>
          <w:numId w:val="2"/>
        </w:numPr>
        <w:spacing w:after="60" w:before="60"/>
      </w:pPr>
      <w:r>
        <w:rPr>
          <w:rFonts w:ascii="Arial" w:cs="Arial" w:eastAsia="Arial" w:hAnsi="Arial"/>
          <w:color w:val="1A1A1A"/>
          <w:sz w:val="22"/>
          <w:szCs w:val="22"/>
        </w:rPr>
        <w:t xml:space="preserve">Modélisation du graphe</w:t>
      </w:r>
      <w:r>
        <w:rPr>
          <w:rFonts w:ascii="Arial" w:cs="Arial" w:eastAsia="Arial" w:hAnsi="Arial"/>
          <w:i/>
          <w:iCs/>
          <w:color w:val="555555"/>
          <w:sz w:val="22"/>
          <w:szCs w:val="22"/>
        </w:rPr>
        <w:t xml:space="preserve"> — définition des types de nœuds (documents, personnes, thématiques, organisations, événements, concepts) et des types de relations entre ces entités</w:t>
      </w:r>
    </w:p>
    <w:p>
      <w:pPr>
        <w:pStyle w:val="ListParagraph"/>
        <w:numPr>
          <w:ilvl w:val="0"/>
          <w:numId w:val="2"/>
        </w:numPr>
        <w:spacing w:after="60" w:before="60"/>
      </w:pPr>
      <w:r>
        <w:rPr>
          <w:rFonts w:ascii="Arial" w:cs="Arial" w:eastAsia="Arial" w:hAnsi="Arial"/>
          <w:color w:val="1A1A1A"/>
          <w:sz w:val="22"/>
          <w:szCs w:val="22"/>
        </w:rPr>
        <w:t xml:space="preserve">Extraction et transformation des données</w:t>
      </w:r>
      <w:r>
        <w:rPr>
          <w:rFonts w:ascii="Arial" w:cs="Arial" w:eastAsia="Arial" w:hAnsi="Arial"/>
          <w:i/>
          <w:iCs/>
          <w:color w:val="555555"/>
          <w:sz w:val="22"/>
          <w:szCs w:val="22"/>
        </w:rPr>
        <w:t xml:space="preserve"> — pipeline ETL (Extract, Transform, Load) pour ingérer les données de SharePoint dans Neo4j en respectant le modèle défini</w:t>
      </w:r>
    </w:p>
    <w:p>
      <w:pPr>
        <w:pStyle w:val="ListParagraph"/>
        <w:numPr>
          <w:ilvl w:val="0"/>
          <w:numId w:val="2"/>
        </w:numPr>
        <w:spacing w:after="60" w:before="60"/>
      </w:pPr>
      <w:r>
        <w:rPr>
          <w:rFonts w:ascii="Arial" w:cs="Arial" w:eastAsia="Arial" w:hAnsi="Arial"/>
          <w:color w:val="1A1A1A"/>
          <w:sz w:val="22"/>
          <w:szCs w:val="22"/>
        </w:rPr>
        <w:t xml:space="preserve">Enrichissement des métadonnées</w:t>
      </w:r>
      <w:r>
        <w:rPr>
          <w:rFonts w:ascii="Arial" w:cs="Arial" w:eastAsia="Arial" w:hAnsi="Arial"/>
          <w:i/>
          <w:iCs/>
          <w:color w:val="555555"/>
          <w:sz w:val="22"/>
          <w:szCs w:val="22"/>
        </w:rPr>
        <w:t xml:space="preserve"> — exploitation des métadonnées structurées pour alimenter automatiquement les relations du graphe</w:t>
      </w:r>
    </w:p>
    <w:p>
      <w:pPr>
        <w:pStyle w:val="ListParagraph"/>
        <w:numPr>
          <w:ilvl w:val="0"/>
          <w:numId w:val="2"/>
        </w:numPr>
        <w:spacing w:after="60" w:before="60"/>
      </w:pPr>
      <w:r>
        <w:rPr>
          <w:rFonts w:ascii="Arial" w:cs="Arial" w:eastAsia="Arial" w:hAnsi="Arial"/>
          <w:color w:val="1A1A1A"/>
          <w:sz w:val="22"/>
          <w:szCs w:val="22"/>
        </w:rPr>
        <w:t xml:space="preserve">Requêtage et exploration</w:t>
      </w:r>
      <w:r>
        <w:rPr>
          <w:rFonts w:ascii="Arial" w:cs="Arial" w:eastAsia="Arial" w:hAnsi="Arial"/>
          <w:i/>
          <w:iCs/>
          <w:color w:val="555555"/>
          <w:sz w:val="22"/>
          <w:szCs w:val="22"/>
        </w:rPr>
        <w:t xml:space="preserve"> — développement de requêtes Cypher pour valider la pertinence du graphe et explorer les relations entre entités</w:t>
      </w:r>
    </w:p>
    <w:p>
      <w:pPr>
        <w:pStyle w:val="ListParagraph"/>
        <w:numPr>
          <w:ilvl w:val="0"/>
          <w:numId w:val="2"/>
        </w:numPr>
        <w:spacing w:after="60" w:before="60"/>
      </w:pPr>
      <w:r>
        <w:rPr>
          <w:rFonts w:ascii="Arial" w:cs="Arial" w:eastAsia="Arial" w:hAnsi="Arial"/>
          <w:color w:val="1A1A1A"/>
          <w:sz w:val="22"/>
          <w:szCs w:val="22"/>
        </w:rPr>
        <w:t xml:space="preserve">Documentation technique</w:t>
      </w:r>
      <w:r>
        <w:rPr>
          <w:rFonts w:ascii="Arial" w:cs="Arial" w:eastAsia="Arial" w:hAnsi="Arial"/>
          <w:i/>
          <w:iCs/>
          <w:color w:val="555555"/>
          <w:sz w:val="22"/>
          <w:szCs w:val="22"/>
        </w:rPr>
        <w:t xml:space="preserve"> — rédaction des spécifications du modèle et du pipeline pour assurer la reproductibilité du projet</w:t>
      </w:r>
    </w:p>
    <w:p>
      <w:pPr>
        <w:spacing w:after="120" w:before="240"/>
      </w:pPr>
      <w:r>
        <w:rPr>
          <w:rFonts w:ascii="Arial" w:cs="Arial" w:eastAsia="Arial" w:hAnsi="Arial"/>
          <w:b/>
          <w:bCs/>
          <w:color w:val="00965E"/>
          <w:sz w:val="24"/>
          <w:szCs w:val="24"/>
        </w:rPr>
        <w:t xml:space="preserve">Résultats et perspectives</w:t>
      </w:r>
    </w:p>
    <w:p>
      <w:pPr>
        <w:spacing w:after="80" w:before="80"/>
        <w:jc w:val="both"/>
      </w:pPr>
      <w:r>
        <w:rPr>
          <w:rFonts w:ascii="Arial" w:cs="Arial" w:eastAsia="Arial" w:hAnsi="Arial"/>
          <w:color w:val="1A1A1A"/>
          <w:sz w:val="22"/>
          <w:szCs w:val="22"/>
        </w:rPr>
        <w:t xml:space="preserve">Ce POC a démontré la faisabilité d'un Knowledge Graph au sein du département et en a révélé le potentiel pour la navigation sémantique dans les ressources documentaires. Il ouvre des perspectives concrètes : détection de liens thématiques non évidents, recommandation de ressources connexes, visualisation des réseaux d'expertise, et exploitation par des systèmes d'IA.</w:t>
      </w:r>
    </w:p>
    <w:p>
      <w:pPr>
        <w:spacing w:after="0" w:before="80"/>
      </w:pPr>
      <w:r>
        <w:t xml:space="preserve"/>
      </w:r>
    </w:p>
    <w:p>
      <w:pPr>
        <w:pStyle w:val="Heading2"/>
        <w:spacing w:after="160" w:before="320"/>
      </w:pPr>
      <w:r>
        <w:rPr>
          <w:rFonts w:ascii="Arial" w:cs="Arial" w:eastAsia="Arial" w:hAnsi="Arial"/>
          <w:b/>
          <w:bCs/>
          <w:color w:val="1A1A1A"/>
          <w:sz w:val="26"/>
          <w:szCs w:val="26"/>
        </w:rPr>
        <w:t xml:space="preserve">4. Interface Chatbot avec Mistral LLM</w:t>
      </w:r>
    </w:p>
    <w:p>
      <w:pPr>
        <w:spacing w:after="120" w:before="240"/>
      </w:pPr>
      <w:r>
        <w:rPr>
          <w:rFonts w:ascii="Arial" w:cs="Arial" w:eastAsia="Arial" w:hAnsi="Arial"/>
          <w:b/>
          <w:bCs/>
          <w:color w:val="00965E"/>
          <w:sz w:val="24"/>
          <w:szCs w:val="24"/>
        </w:rPr>
        <w:t xml:space="preserve">Contexte et enjeux</w:t>
      </w:r>
    </w:p>
    <w:p>
      <w:pPr>
        <w:spacing w:after="80" w:before="80"/>
        <w:jc w:val="both"/>
      </w:pPr>
      <w:r>
        <w:rPr>
          <w:rFonts w:ascii="Arial" w:cs="Arial" w:eastAsia="Arial" w:hAnsi="Arial"/>
          <w:color w:val="1A1A1A"/>
          <w:sz w:val="22"/>
          <w:szCs w:val="22"/>
        </w:rPr>
        <w:t xml:space="preserve">Dans le prolongement du Knowledge Graph, la question de son exploitation par les utilisateurs s'est posée naturellement. Un graphe de connaissances ne prend tout son sens que s'il est interrogeable de façon intuitive. L'objectif de cette dernière mission était de développer une interface Chatbot connectée au Knowledge Graph Neo4j, en utilisant le modèle de langage Mistral LLM, afin de permettre aux utilisateurs d'interroger la base de connaissances en langage naturel.</w:t>
      </w:r>
    </w:p>
    <w:p>
      <w:pPr>
        <w:spacing w:after="120" w:before="240"/>
      </w:pPr>
      <w:r>
        <w:rPr>
          <w:rFonts w:ascii="Arial" w:cs="Arial" w:eastAsia="Arial" w:hAnsi="Arial"/>
          <w:b/>
          <w:bCs/>
          <w:color w:val="00965E"/>
          <w:sz w:val="24"/>
          <w:szCs w:val="24"/>
        </w:rPr>
        <w:t xml:space="preserve">Architecture technique</w:t>
      </w:r>
    </w:p>
    <w:p>
      <w:pPr>
        <w:spacing w:after="80" w:before="80"/>
        <w:jc w:val="both"/>
      </w:pPr>
      <w:r>
        <w:rPr>
          <w:rFonts w:ascii="Arial" w:cs="Arial" w:eastAsia="Arial" w:hAnsi="Arial"/>
          <w:color w:val="1A1A1A"/>
          <w:sz w:val="22"/>
          <w:szCs w:val="22"/>
        </w:rPr>
        <w:t xml:space="preserve">L'interface développée repose sur une architecture combinant plusieurs composants :</w:t>
      </w:r>
    </w:p>
    <w:p>
      <w:pPr>
        <w:pStyle w:val="ListParagraph"/>
        <w:numPr>
          <w:ilvl w:val="0"/>
          <w:numId w:val="2"/>
        </w:numPr>
        <w:spacing w:after="60" w:before="60"/>
      </w:pPr>
      <w:r>
        <w:rPr>
          <w:rFonts w:ascii="Arial" w:cs="Arial" w:eastAsia="Arial" w:hAnsi="Arial"/>
          <w:color w:val="1A1A1A"/>
          <w:sz w:val="22"/>
          <w:szCs w:val="22"/>
        </w:rPr>
        <w:t xml:space="preserve">Frontend</w:t>
      </w:r>
      <w:r>
        <w:rPr>
          <w:rFonts w:ascii="Arial" w:cs="Arial" w:eastAsia="Arial" w:hAnsi="Arial"/>
          <w:i/>
          <w:iCs/>
          <w:color w:val="555555"/>
          <w:sz w:val="22"/>
          <w:szCs w:val="22"/>
        </w:rPr>
        <w:t xml:space="preserve"> — interface conversationnelle simple et ergonomique permettant la saisie de questions en langage naturel</w:t>
      </w:r>
    </w:p>
    <w:p>
      <w:pPr>
        <w:pStyle w:val="ListParagraph"/>
        <w:numPr>
          <w:ilvl w:val="0"/>
          <w:numId w:val="2"/>
        </w:numPr>
        <w:spacing w:after="60" w:before="60"/>
      </w:pPr>
      <w:r>
        <w:rPr>
          <w:rFonts w:ascii="Arial" w:cs="Arial" w:eastAsia="Arial" w:hAnsi="Arial"/>
          <w:color w:val="1A1A1A"/>
          <w:sz w:val="22"/>
          <w:szCs w:val="22"/>
        </w:rPr>
        <w:t xml:space="preserve">Moteur LLM — Mistral</w:t>
      </w:r>
      <w:r>
        <w:rPr>
          <w:rFonts w:ascii="Arial" w:cs="Arial" w:eastAsia="Arial" w:hAnsi="Arial"/>
          <w:i/>
          <w:iCs/>
          <w:color w:val="555555"/>
          <w:sz w:val="22"/>
          <w:szCs w:val="22"/>
        </w:rPr>
        <w:t xml:space="preserve"> — traitement des requêtes utilisateurs, génération de requêtes Cypher et formulation des réponses en langage naturel</w:t>
      </w:r>
    </w:p>
    <w:p>
      <w:pPr>
        <w:pStyle w:val="ListParagraph"/>
        <w:numPr>
          <w:ilvl w:val="0"/>
          <w:numId w:val="2"/>
        </w:numPr>
        <w:spacing w:after="60" w:before="60"/>
      </w:pPr>
      <w:r>
        <w:rPr>
          <w:rFonts w:ascii="Arial" w:cs="Arial" w:eastAsia="Arial" w:hAnsi="Arial"/>
          <w:color w:val="1A1A1A"/>
          <w:sz w:val="22"/>
          <w:szCs w:val="22"/>
        </w:rPr>
        <w:t xml:space="preserve">Connecteur Neo4j</w:t>
      </w:r>
      <w:r>
        <w:rPr>
          <w:rFonts w:ascii="Arial" w:cs="Arial" w:eastAsia="Arial" w:hAnsi="Arial"/>
          <w:i/>
          <w:iCs/>
          <w:color w:val="555555"/>
          <w:sz w:val="22"/>
          <w:szCs w:val="22"/>
        </w:rPr>
        <w:t xml:space="preserve"> — interface permettant l'exécution des requêtes générées sur le Knowledge Graph et la récupération des résultats</w:t>
      </w:r>
    </w:p>
    <w:p>
      <w:pPr>
        <w:pStyle w:val="ListParagraph"/>
        <w:numPr>
          <w:ilvl w:val="0"/>
          <w:numId w:val="2"/>
        </w:numPr>
        <w:spacing w:after="60" w:before="60"/>
      </w:pPr>
      <w:r>
        <w:rPr>
          <w:rFonts w:ascii="Arial" w:cs="Arial" w:eastAsia="Arial" w:hAnsi="Arial"/>
          <w:color w:val="1A1A1A"/>
          <w:sz w:val="22"/>
          <w:szCs w:val="22"/>
        </w:rPr>
        <w:t xml:space="preserve">Couche de prompt engineering</w:t>
      </w:r>
      <w:r>
        <w:rPr>
          <w:rFonts w:ascii="Arial" w:cs="Arial" w:eastAsia="Arial" w:hAnsi="Arial"/>
          <w:i/>
          <w:iCs/>
          <w:color w:val="555555"/>
          <w:sz w:val="22"/>
          <w:szCs w:val="22"/>
        </w:rPr>
        <w:t xml:space="preserve"> — instructions système guidant le modèle pour une utilisation correcte du graphe et une réponse adaptée au contexte BNP Paribas</w:t>
      </w:r>
    </w:p>
    <w:p>
      <w:pPr>
        <w:spacing w:after="120" w:before="240"/>
      </w:pPr>
      <w:r>
        <w:rPr>
          <w:rFonts w:ascii="Arial" w:cs="Arial" w:eastAsia="Arial" w:hAnsi="Arial"/>
          <w:b/>
          <w:bCs/>
          <w:color w:val="00965E"/>
          <w:sz w:val="24"/>
          <w:szCs w:val="24"/>
        </w:rPr>
        <w:t xml:space="preserve">Objectifs et apports</w:t>
      </w:r>
    </w:p>
    <w:p>
      <w:pPr>
        <w:spacing w:after="80" w:before="80"/>
        <w:jc w:val="both"/>
      </w:pPr>
      <w:r>
        <w:rPr>
          <w:rFonts w:ascii="Arial" w:cs="Arial" w:eastAsia="Arial" w:hAnsi="Arial"/>
          <w:color w:val="1A1A1A"/>
          <w:sz w:val="22"/>
          <w:szCs w:val="22"/>
        </w:rPr>
        <w:t xml:space="preserve">Le Chatbot a rempli un triple objectif :</w:t>
      </w:r>
    </w:p>
    <w:p>
      <w:pPr>
        <w:pStyle w:val="ListParagraph"/>
        <w:numPr>
          <w:ilvl w:val="0"/>
          <w:numId w:val="2"/>
        </w:numPr>
        <w:spacing w:after="60" w:before="60"/>
      </w:pPr>
      <w:r>
        <w:rPr>
          <w:rFonts w:ascii="Arial" w:cs="Arial" w:eastAsia="Arial" w:hAnsi="Arial"/>
          <w:color w:val="1A1A1A"/>
          <w:sz w:val="22"/>
          <w:szCs w:val="22"/>
        </w:rPr>
        <w:t xml:space="preserve">Tester le Knowledge Graph</w:t>
      </w:r>
      <w:r>
        <w:rPr>
          <w:rFonts w:ascii="Arial" w:cs="Arial" w:eastAsia="Arial" w:hAnsi="Arial"/>
          <w:i/>
          <w:iCs/>
          <w:color w:val="555555"/>
          <w:sz w:val="22"/>
          <w:szCs w:val="22"/>
        </w:rPr>
        <w:t xml:space="preserve"> — les interrogations en langage naturel ont permis de mettre en évidence des lacunes ou incohérences dans la modélisation du graphe</w:t>
      </w:r>
    </w:p>
    <w:p>
      <w:pPr>
        <w:pStyle w:val="ListParagraph"/>
        <w:numPr>
          <w:ilvl w:val="0"/>
          <w:numId w:val="2"/>
        </w:numPr>
        <w:spacing w:after="60" w:before="60"/>
      </w:pPr>
      <w:r>
        <w:rPr>
          <w:rFonts w:ascii="Arial" w:cs="Arial" w:eastAsia="Arial" w:hAnsi="Arial"/>
          <w:color w:val="1A1A1A"/>
          <w:sz w:val="22"/>
          <w:szCs w:val="22"/>
        </w:rPr>
        <w:t xml:space="preserve">Améliorer la qualité des données</w:t>
      </w:r>
      <w:r>
        <w:rPr>
          <w:rFonts w:ascii="Arial" w:cs="Arial" w:eastAsia="Arial" w:hAnsi="Arial"/>
          <w:i/>
          <w:iCs/>
          <w:color w:val="555555"/>
          <w:sz w:val="22"/>
          <w:szCs w:val="22"/>
        </w:rPr>
        <w:t xml:space="preserve"> — les cas d'échec ou de réponses imprécises ont été utilisés comme retour d'expérience pour enrichir et corriger le graphe</w:t>
      </w:r>
    </w:p>
    <w:p>
      <w:pPr>
        <w:pStyle w:val="ListParagraph"/>
        <w:numPr>
          <w:ilvl w:val="0"/>
          <w:numId w:val="2"/>
        </w:numPr>
        <w:spacing w:after="60" w:before="60"/>
      </w:pPr>
      <w:r>
        <w:rPr>
          <w:rFonts w:ascii="Arial" w:cs="Arial" w:eastAsia="Arial" w:hAnsi="Arial"/>
          <w:color w:val="1A1A1A"/>
          <w:sz w:val="22"/>
          <w:szCs w:val="22"/>
        </w:rPr>
        <w:t xml:space="preserve">Évaluer la valeur d'usage</w:t>
      </w:r>
      <w:r>
        <w:rPr>
          <w:rFonts w:ascii="Arial" w:cs="Arial" w:eastAsia="Arial" w:hAnsi="Arial"/>
          <w:i/>
          <w:iCs/>
          <w:color w:val="555555"/>
          <w:sz w:val="22"/>
          <w:szCs w:val="22"/>
        </w:rPr>
        <w:t xml:space="preserve"> — recueil des retours des utilisateurs pilotes pour évaluer la pertinence du dispositif et orienter les développements futurs</w:t>
      </w:r>
    </w:p>
    <w:p>
      <w:pPr>
        <w:spacing w:after="120" w:before="240"/>
      </w:pPr>
      <w:r>
        <w:rPr>
          <w:rFonts w:ascii="Arial" w:cs="Arial" w:eastAsia="Arial" w:hAnsi="Arial"/>
          <w:b/>
          <w:bCs/>
          <w:color w:val="00965E"/>
          <w:sz w:val="24"/>
          <w:szCs w:val="24"/>
        </w:rPr>
        <w:t xml:space="preserve">Résultats</w:t>
      </w:r>
    </w:p>
    <w:p>
      <w:pPr>
        <w:spacing w:after="80" w:before="80"/>
        <w:jc w:val="both"/>
      </w:pPr>
      <w:r>
        <w:rPr>
          <w:rFonts w:ascii="Arial" w:cs="Arial" w:eastAsia="Arial" w:hAnsi="Arial"/>
          <w:color w:val="1A1A1A"/>
          <w:sz w:val="22"/>
          <w:szCs w:val="22"/>
        </w:rPr>
        <w:t xml:space="preserve">L'interface Chatbot a constitué un outil précieux de validation et d'amélioration itérative du Knowledge Graph. Elle a également permis de matérialiser concrètement la valeur ajoutée de l'ensemble du dispositif KDM pour les équipes du département, en offrant un accès intuitif aux connaissances structurées.</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III. Bilan et apports du stage</w:t>
      </w:r>
    </w:p>
    <w:p>
      <w:pPr>
        <w:pStyle w:val="Heading2"/>
        <w:spacing w:after="160" w:before="320"/>
      </w:pPr>
      <w:r>
        <w:rPr>
          <w:rFonts w:ascii="Arial" w:cs="Arial" w:eastAsia="Arial" w:hAnsi="Arial"/>
          <w:b/>
          <w:bCs/>
          <w:color w:val="1A1A1A"/>
          <w:sz w:val="26"/>
          <w:szCs w:val="26"/>
        </w:rPr>
        <w:t xml:space="preserve">1. Compétences techniques acquises</w:t>
      </w:r>
    </w:p>
    <w:p>
      <w:pPr>
        <w:spacing w:after="80" w:before="80"/>
        <w:jc w:val="both"/>
      </w:pPr>
      <w:r>
        <w:rPr>
          <w:rFonts w:ascii="Arial" w:cs="Arial" w:eastAsia="Arial" w:hAnsi="Arial"/>
          <w:color w:val="1A1A1A"/>
          <w:sz w:val="22"/>
          <w:szCs w:val="22"/>
        </w:rPr>
        <w:t xml:space="preserve">Ce stage m'a permis de développer et d'approfondir un ensemble de compétences techniques directement applicables dans les domaines de la gestion de l'information et de l'ingénierie des données :</w:t>
      </w:r>
    </w:p>
    <w:p>
      <w:pPr>
        <w:pStyle w:val="ListParagraph"/>
        <w:numPr>
          <w:ilvl w:val="0"/>
          <w:numId w:val="2"/>
        </w:numPr>
        <w:spacing w:after="60" w:before="60"/>
      </w:pPr>
      <w:r>
        <w:rPr>
          <w:rFonts w:ascii="Arial" w:cs="Arial" w:eastAsia="Arial" w:hAnsi="Arial"/>
          <w:color w:val="1A1A1A"/>
          <w:sz w:val="22"/>
          <w:szCs w:val="22"/>
        </w:rPr>
        <w:t xml:space="preserve">Gestion de données et métadonnées</w:t>
      </w:r>
      <w:r>
        <w:rPr>
          <w:rFonts w:ascii="Arial" w:cs="Arial" w:eastAsia="Arial" w:hAnsi="Arial"/>
          <w:i/>
          <w:iCs/>
          <w:color w:val="555555"/>
          <w:sz w:val="22"/>
          <w:szCs w:val="22"/>
        </w:rPr>
        <w:t xml:space="preserve"> — conception de taxonomies, structuration de bases documentaires, modélisation d'information</w:t>
      </w:r>
    </w:p>
    <w:p>
      <w:pPr>
        <w:pStyle w:val="ListParagraph"/>
        <w:numPr>
          <w:ilvl w:val="0"/>
          <w:numId w:val="2"/>
        </w:numPr>
        <w:spacing w:after="60" w:before="60"/>
      </w:pPr>
      <w:r>
        <w:rPr>
          <w:rFonts w:ascii="Arial" w:cs="Arial" w:eastAsia="Arial" w:hAnsi="Arial"/>
          <w:color w:val="1A1A1A"/>
          <w:sz w:val="22"/>
          <w:szCs w:val="22"/>
        </w:rPr>
        <w:t xml:space="preserve">Bases de données orientées graphe</w:t>
      </w:r>
      <w:r>
        <w:rPr>
          <w:rFonts w:ascii="Arial" w:cs="Arial" w:eastAsia="Arial" w:hAnsi="Arial"/>
          <w:i/>
          <w:iCs/>
          <w:color w:val="555555"/>
          <w:sz w:val="22"/>
          <w:szCs w:val="22"/>
        </w:rPr>
        <w:t xml:space="preserve"> — maîtrise de Neo4j et du langage de requête Cypher pour la création et l'exploitation d'un Knowledge Graph</w:t>
      </w:r>
    </w:p>
    <w:p>
      <w:pPr>
        <w:pStyle w:val="ListParagraph"/>
        <w:numPr>
          <w:ilvl w:val="0"/>
          <w:numId w:val="2"/>
        </w:numPr>
        <w:spacing w:after="60" w:before="60"/>
      </w:pPr>
      <w:r>
        <w:rPr>
          <w:rFonts w:ascii="Arial" w:cs="Arial" w:eastAsia="Arial" w:hAnsi="Arial"/>
          <w:color w:val="1A1A1A"/>
          <w:sz w:val="22"/>
          <w:szCs w:val="22"/>
        </w:rPr>
        <w:t xml:space="preserve">Intelligence artificielle et LLM</w:t>
      </w:r>
      <w:r>
        <w:rPr>
          <w:rFonts w:ascii="Arial" w:cs="Arial" w:eastAsia="Arial" w:hAnsi="Arial"/>
          <w:i/>
          <w:iCs/>
          <w:color w:val="555555"/>
          <w:sz w:val="22"/>
          <w:szCs w:val="22"/>
        </w:rPr>
        <w:t xml:space="preserve"> — utilisation de Mistral LLM dans un contexte applicatif, prompt engineering, intégration API</w:t>
      </w:r>
    </w:p>
    <w:p>
      <w:pPr>
        <w:pStyle w:val="ListParagraph"/>
        <w:numPr>
          <w:ilvl w:val="0"/>
          <w:numId w:val="2"/>
        </w:numPr>
        <w:spacing w:after="60" w:before="60"/>
      </w:pPr>
      <w:r>
        <w:rPr>
          <w:rFonts w:ascii="Arial" w:cs="Arial" w:eastAsia="Arial" w:hAnsi="Arial"/>
          <w:color w:val="1A1A1A"/>
          <w:sz w:val="22"/>
          <w:szCs w:val="22"/>
        </w:rPr>
        <w:t xml:space="preserve">Outils Microsoft 365</w:t>
      </w:r>
      <w:r>
        <w:rPr>
          <w:rFonts w:ascii="Arial" w:cs="Arial" w:eastAsia="Arial" w:hAnsi="Arial"/>
          <w:i/>
          <w:iCs/>
          <w:color w:val="555555"/>
          <w:sz w:val="22"/>
          <w:szCs w:val="22"/>
        </w:rPr>
        <w:t xml:space="preserve"> — administration et paramétrage avancé de SharePoint pour la gestion documentaire</w:t>
      </w:r>
    </w:p>
    <w:p>
      <w:pPr>
        <w:pStyle w:val="ListParagraph"/>
        <w:numPr>
          <w:ilvl w:val="0"/>
          <w:numId w:val="2"/>
        </w:numPr>
        <w:spacing w:after="60" w:before="60"/>
      </w:pPr>
      <w:r>
        <w:rPr>
          <w:rFonts w:ascii="Arial" w:cs="Arial" w:eastAsia="Arial" w:hAnsi="Arial"/>
          <w:color w:val="1A1A1A"/>
          <w:sz w:val="22"/>
          <w:szCs w:val="22"/>
        </w:rPr>
        <w:t xml:space="preserve">Automatisation</w:t>
      </w:r>
      <w:r>
        <w:rPr>
          <w:rFonts w:ascii="Arial" w:cs="Arial" w:eastAsia="Arial" w:hAnsi="Arial"/>
          <w:i/>
          <w:iCs/>
          <w:color w:val="555555"/>
          <w:sz w:val="22"/>
          <w:szCs w:val="22"/>
        </w:rPr>
        <w:t xml:space="preserve"> — développement de scripts pour la génération automatique de documents organisationnels</w:t>
      </w:r>
    </w:p>
    <w:p>
      <w:pPr>
        <w:pStyle w:val="Heading2"/>
        <w:spacing w:after="160" w:before="320"/>
      </w:pPr>
      <w:r>
        <w:rPr>
          <w:rFonts w:ascii="Arial" w:cs="Arial" w:eastAsia="Arial" w:hAnsi="Arial"/>
          <w:b/>
          <w:bCs/>
          <w:color w:val="1A1A1A"/>
          <w:sz w:val="26"/>
          <w:szCs w:val="26"/>
        </w:rPr>
        <w:t xml:space="preserve">2. Compétences transversales</w:t>
      </w:r>
    </w:p>
    <w:p>
      <w:pPr>
        <w:spacing w:after="80" w:before="80"/>
        <w:jc w:val="both"/>
      </w:pPr>
      <w:r>
        <w:rPr>
          <w:rFonts w:ascii="Arial" w:cs="Arial" w:eastAsia="Arial" w:hAnsi="Arial"/>
          <w:color w:val="1A1A1A"/>
          <w:sz w:val="22"/>
          <w:szCs w:val="22"/>
        </w:rPr>
        <w:t xml:space="preserve">Au-delà des compétences techniques, ce stage a également été l'occasion de développer des aptitudes professionnelles essentielles :</w:t>
      </w:r>
    </w:p>
    <w:p>
      <w:pPr>
        <w:pStyle w:val="ListParagraph"/>
        <w:numPr>
          <w:ilvl w:val="0"/>
          <w:numId w:val="2"/>
        </w:numPr>
        <w:spacing w:after="60" w:before="60"/>
      </w:pPr>
      <w:r>
        <w:rPr>
          <w:rFonts w:ascii="Arial" w:cs="Arial" w:eastAsia="Arial" w:hAnsi="Arial"/>
          <w:color w:val="1A1A1A"/>
          <w:sz w:val="22"/>
          <w:szCs w:val="22"/>
        </w:rPr>
        <w:t xml:space="preserve">Conduite de projet</w:t>
      </w:r>
      <w:r>
        <w:rPr>
          <w:rFonts w:ascii="Arial" w:cs="Arial" w:eastAsia="Arial" w:hAnsi="Arial"/>
          <w:i/>
          <w:iCs/>
          <w:color w:val="555555"/>
          <w:sz w:val="22"/>
          <w:szCs w:val="22"/>
        </w:rPr>
        <w:t xml:space="preserve"> — planification, suivi et restitution de missions dans un environnement professionnel exigeant</w:t>
      </w:r>
    </w:p>
    <w:p>
      <w:pPr>
        <w:pStyle w:val="ListParagraph"/>
        <w:numPr>
          <w:ilvl w:val="0"/>
          <w:numId w:val="2"/>
        </w:numPr>
        <w:spacing w:after="60" w:before="60"/>
      </w:pPr>
      <w:r>
        <w:rPr>
          <w:rFonts w:ascii="Arial" w:cs="Arial" w:eastAsia="Arial" w:hAnsi="Arial"/>
          <w:color w:val="1A1A1A"/>
          <w:sz w:val="22"/>
          <w:szCs w:val="22"/>
        </w:rPr>
        <w:t xml:space="preserve">Communication</w:t>
      </w:r>
      <w:r>
        <w:rPr>
          <w:rFonts w:ascii="Arial" w:cs="Arial" w:eastAsia="Arial" w:hAnsi="Arial"/>
          <w:i/>
          <w:iCs/>
          <w:color w:val="555555"/>
          <w:sz w:val="22"/>
          <w:szCs w:val="22"/>
        </w:rPr>
        <w:t xml:space="preserve"> — rédaction de documentation technique, présentation des travaux à l'équipe, animation d'ateliers de recueil des besoins</w:t>
      </w:r>
    </w:p>
    <w:p>
      <w:pPr>
        <w:pStyle w:val="ListParagraph"/>
        <w:numPr>
          <w:ilvl w:val="0"/>
          <w:numId w:val="2"/>
        </w:numPr>
        <w:spacing w:after="60" w:before="60"/>
      </w:pPr>
      <w:r>
        <w:rPr>
          <w:rFonts w:ascii="Arial" w:cs="Arial" w:eastAsia="Arial" w:hAnsi="Arial"/>
          <w:color w:val="1A1A1A"/>
          <w:sz w:val="22"/>
          <w:szCs w:val="22"/>
        </w:rPr>
        <w:t xml:space="preserve">Adaptation et autonomie</w:t>
      </w:r>
      <w:r>
        <w:rPr>
          <w:rFonts w:ascii="Arial" w:cs="Arial" w:eastAsia="Arial" w:hAnsi="Arial"/>
          <w:i/>
          <w:iCs/>
          <w:color w:val="555555"/>
          <w:sz w:val="22"/>
          <w:szCs w:val="22"/>
        </w:rPr>
        <w:t xml:space="preserve"> — capacité à monter en compétence rapidement sur des technologies nouvelles et à travailler de façon autonome</w:t>
      </w:r>
    </w:p>
    <w:p>
      <w:pPr>
        <w:pStyle w:val="ListParagraph"/>
        <w:numPr>
          <w:ilvl w:val="0"/>
          <w:numId w:val="2"/>
        </w:numPr>
        <w:spacing w:after="60" w:before="60"/>
      </w:pPr>
      <w:r>
        <w:rPr>
          <w:rFonts w:ascii="Arial" w:cs="Arial" w:eastAsia="Arial" w:hAnsi="Arial"/>
          <w:color w:val="1A1A1A"/>
          <w:sz w:val="22"/>
          <w:szCs w:val="22"/>
        </w:rPr>
        <w:t xml:space="preserve">Sens de l'écoute</w:t>
      </w:r>
      <w:r>
        <w:rPr>
          <w:rFonts w:ascii="Arial" w:cs="Arial" w:eastAsia="Arial" w:hAnsi="Arial"/>
          <w:i/>
          <w:iCs/>
          <w:color w:val="555555"/>
          <w:sz w:val="22"/>
          <w:szCs w:val="22"/>
        </w:rPr>
        <w:t xml:space="preserve"> — prise en compte des retours utilisateurs pour améliorer les livrables de façon itérative</w:t>
      </w:r>
    </w:p>
    <w:p>
      <w:pPr>
        <w:pStyle w:val="ListParagraph"/>
        <w:numPr>
          <w:ilvl w:val="0"/>
          <w:numId w:val="2"/>
        </w:numPr>
        <w:spacing w:after="60" w:before="60"/>
      </w:pPr>
      <w:r>
        <w:rPr>
          <w:rFonts w:ascii="Arial" w:cs="Arial" w:eastAsia="Arial" w:hAnsi="Arial"/>
          <w:color w:val="1A1A1A"/>
          <w:sz w:val="22"/>
          <w:szCs w:val="22"/>
        </w:rPr>
        <w:t xml:space="preserve">Culture d'entreprise</w:t>
      </w:r>
      <w:r>
        <w:rPr>
          <w:rFonts w:ascii="Arial" w:cs="Arial" w:eastAsia="Arial" w:hAnsi="Arial"/>
          <w:i/>
          <w:iCs/>
          <w:color w:val="555555"/>
          <w:sz w:val="22"/>
          <w:szCs w:val="22"/>
        </w:rPr>
        <w:t xml:space="preserve"> — compréhension des enjeux organisationnels et stratégiques d'un grand groupe bancaire international</w:t>
      </w:r>
    </w:p>
    <w:p>
      <w:pPr>
        <w:pStyle w:val="Heading2"/>
        <w:spacing w:after="160" w:before="320"/>
      </w:pPr>
      <w:r>
        <w:rPr>
          <w:rFonts w:ascii="Arial" w:cs="Arial" w:eastAsia="Arial" w:hAnsi="Arial"/>
          <w:b/>
          <w:bCs/>
          <w:color w:val="1A1A1A"/>
          <w:sz w:val="26"/>
          <w:szCs w:val="26"/>
        </w:rPr>
        <w:t xml:space="preserve">3. Analyse critique et perspectives</w:t>
      </w:r>
    </w:p>
    <w:p>
      <w:pPr>
        <w:spacing w:after="80" w:before="80"/>
        <w:jc w:val="both"/>
      </w:pPr>
      <w:r>
        <w:rPr>
          <w:rFonts w:ascii="Arial" w:cs="Arial" w:eastAsia="Arial" w:hAnsi="Arial"/>
          <w:color w:val="1A1A1A"/>
          <w:sz w:val="22"/>
          <w:szCs w:val="22"/>
        </w:rPr>
        <w:t xml:space="preserve">Ce stage a confirmé la pertinence d'une approche intégrée de la gestion des connaissances, combinant structuration documentaire, modélisation en graphe et exploitation par l'IA. Le projet R&amp;D POC a notamment illustré que l'investissement dans la qualité des données et des métadonnées en amont est un prérequis indispensable à l'efficacité des systèmes d'IA en aval.</w:t>
      </w:r>
    </w:p>
    <w:p>
      <w:pPr>
        <w:spacing w:after="80" w:before="80"/>
        <w:jc w:val="both"/>
      </w:pPr>
      <w:r>
        <w:rPr>
          <w:rFonts w:ascii="Arial" w:cs="Arial" w:eastAsia="Arial" w:hAnsi="Arial"/>
          <w:color w:val="1A1A1A"/>
          <w:sz w:val="22"/>
          <w:szCs w:val="22"/>
        </w:rPr>
        <w:t xml:space="preserve">Plusieurs pistes d'amélioration et d'évolution ont été identifiées au cours du stage : l'enrichissement continu du graphe par de nouvelles sources de données, l'amélioration de la précision des réponses du Chatbot, et la montée en charge du dispositif à d'autres départements de la Communication Groupe.</w:t>
      </w:r>
    </w:p>
    <w:p>
      <w:pPr>
        <w:spacing w:after="80" w:before="80"/>
        <w:jc w:val="both"/>
      </w:pPr>
      <w:r>
        <w:rPr>
          <w:rFonts w:ascii="Arial" w:cs="Arial" w:eastAsia="Arial" w:hAnsi="Arial"/>
          <w:color w:val="1A1A1A"/>
          <w:sz w:val="22"/>
          <w:szCs w:val="22"/>
        </w:rPr>
        <w:t xml:space="preserve">D'un point de vue personnel, ce stage m'a confortée dans mon orientation vers les métiers de la donnée et de la gestion des connaissances, en me donnant une vision concrète des défis et des opportunités que représentent ces domaines dans un contexte organisationnel complexe.</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IV. Conclusion</w:t>
      </w:r>
    </w:p>
    <w:p>
      <w:pPr>
        <w:spacing w:after="80" w:before="80"/>
        <w:jc w:val="both"/>
      </w:pPr>
      <w:r>
        <w:rPr>
          <w:rFonts w:ascii="Arial" w:cs="Arial" w:eastAsia="Arial" w:hAnsi="Arial"/>
          <w:color w:val="1A1A1A"/>
          <w:sz w:val="22"/>
          <w:szCs w:val="22"/>
        </w:rPr>
        <w:t xml:space="preserve">Ce stage au sein du département Histoire, Société et Prospective de BNP Paribas a représenté une opportunité exceptionnelle d'appliquer et d'approfondir mes compétences dans un environnement professionnel de premier plan. Les quatre missions réalisées — automatisation de l'organigramme, construction de la Knowledge Base, développement du Knowledge Graph et création du Chatbot — forment un ensemble cohérent qui témoigne de la richesse et de l'ambition du projet Knowledge &amp; Data Management porté par l'équipe.</w:t>
      </w:r>
    </w:p>
    <w:p>
      <w:pPr>
        <w:spacing w:after="80" w:before="80"/>
        <w:jc w:val="both"/>
      </w:pPr>
      <w:r>
        <w:rPr>
          <w:rFonts w:ascii="Arial" w:cs="Arial" w:eastAsia="Arial" w:hAnsi="Arial"/>
          <w:color w:val="1A1A1A"/>
          <w:sz w:val="22"/>
          <w:szCs w:val="22"/>
        </w:rPr>
        <w:t xml:space="preserve">Ce parcours m'a permis de mesurer concrètement l'importance stratégique de la gestion des connaissances dans les grandes organisations, ainsi que le rôle croissant des technologies d'intelligence artificielle et de graphe dans la valorisation du capital informationnel. La démarche R&amp;D adoptée, alliant rigueur méthodologique et culture de l'expérimentation, constitue un modèle stimulant que j'ambitionne de poursuivre dans ma future carrière.</w:t>
      </w:r>
    </w:p>
    <w:p>
      <w:pPr>
        <w:spacing w:after="80" w:before="80"/>
        <w:jc w:val="both"/>
      </w:pPr>
      <w:r>
        <w:rPr>
          <w:rFonts w:ascii="Arial" w:cs="Arial" w:eastAsia="Arial" w:hAnsi="Arial"/>
          <w:color w:val="1A1A1A"/>
          <w:sz w:val="22"/>
          <w:szCs w:val="22"/>
        </w:rPr>
        <w:t xml:space="preserve">Je retiens de cette expérience non seulement des compétences techniques solides, mais aussi une compréhension fine des enjeux organisationnels et humains liés à la transformation digitale des grandes entreprises. Ces acquis constitueront un atout précieux pour la suite de mon parcours professionnel.</w:t>
      </w:r>
    </w:p>
    <w:p>
      <w:pPr>
        <w:spacing w:after="0" w:before="160"/>
      </w:pPr>
      <w:r>
        <w:t xml:space="preserve"/>
      </w:r>
    </w:p>
    <w:p>
      <w:r>
        <w:br w:type="page"/>
      </w:r>
    </w:p>
    <w:p>
      <w:pPr>
        <w:pStyle w:val="Heading1"/>
        <w:pBdr>
          <w:bottom w:val="single" w:color="00965E" w:sz="8" w:space="4"/>
        </w:pBdr>
        <w:spacing w:after="200" w:before="480"/>
      </w:pPr>
      <w:r>
        <w:rPr>
          <w:rFonts w:ascii="Arial" w:cs="Arial" w:eastAsia="Arial" w:hAnsi="Arial"/>
          <w:b/>
          <w:bCs/>
          <w:color w:val="00965E"/>
          <w:sz w:val="32"/>
          <w:szCs w:val="32"/>
        </w:rPr>
        <w:t xml:space="preserve">V. Annexes</w:t>
      </w:r>
    </w:p>
    <w:p>
      <w:pPr>
        <w:spacing w:after="80" w:before="80"/>
        <w:jc w:val="left"/>
      </w:pPr>
      <w:r>
        <w:rPr>
          <w:rFonts w:ascii="Arial" w:cs="Arial" w:eastAsia="Arial" w:hAnsi="Arial"/>
          <w:color w:val="1A1A1A"/>
          <w:sz w:val="22"/>
          <w:szCs w:val="22"/>
        </w:rPr>
        <w:t xml:space="preserve">Les annexes suivantes complètent ce rapport :</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Annexe A</w:t>
      </w:r>
      <w:r>
        <w:rPr>
          <w:rFonts w:ascii="Arial" w:cs="Arial" w:eastAsia="Arial" w:hAnsi="Arial"/>
          <w:i/>
          <w:iCs/>
          <w:color w:val="555555"/>
          <w:sz w:val="22"/>
          <w:szCs w:val="22"/>
        </w:rPr>
        <w:t xml:space="preserve"> — Schéma de l'architecture de la Knowledge Base (SharePoint)</w:t>
      </w:r>
    </w:p>
    <w:p>
      <w:pPr>
        <w:pStyle w:val="ListParagraph"/>
        <w:numPr>
          <w:ilvl w:val="0"/>
          <w:numId w:val="2"/>
        </w:numPr>
        <w:spacing w:after="60" w:before="60"/>
      </w:pPr>
      <w:r>
        <w:rPr>
          <w:rFonts w:ascii="Arial" w:cs="Arial" w:eastAsia="Arial" w:hAnsi="Arial"/>
          <w:color w:val="1A1A1A"/>
          <w:sz w:val="22"/>
          <w:szCs w:val="22"/>
        </w:rPr>
        <w:t xml:space="preserve">Annexe B</w:t>
      </w:r>
      <w:r>
        <w:rPr>
          <w:rFonts w:ascii="Arial" w:cs="Arial" w:eastAsia="Arial" w:hAnsi="Arial"/>
          <w:i/>
          <w:iCs/>
          <w:color w:val="555555"/>
          <w:sz w:val="22"/>
          <w:szCs w:val="22"/>
        </w:rPr>
        <w:t xml:space="preserve"> — Modèle de données du Knowledge Graph (Neo4j — types de nœuds et relations)</w:t>
      </w:r>
    </w:p>
    <w:p>
      <w:pPr>
        <w:pStyle w:val="ListParagraph"/>
        <w:numPr>
          <w:ilvl w:val="0"/>
          <w:numId w:val="2"/>
        </w:numPr>
        <w:spacing w:after="60" w:before="60"/>
      </w:pPr>
      <w:r>
        <w:rPr>
          <w:rFonts w:ascii="Arial" w:cs="Arial" w:eastAsia="Arial" w:hAnsi="Arial"/>
          <w:color w:val="1A1A1A"/>
          <w:sz w:val="22"/>
          <w:szCs w:val="22"/>
        </w:rPr>
        <w:t xml:space="preserve">Annexe C</w:t>
      </w:r>
      <w:r>
        <w:rPr>
          <w:rFonts w:ascii="Arial" w:cs="Arial" w:eastAsia="Arial" w:hAnsi="Arial"/>
          <w:i/>
          <w:iCs/>
          <w:color w:val="555555"/>
          <w:sz w:val="22"/>
          <w:szCs w:val="22"/>
        </w:rPr>
        <w:t xml:space="preserve"> — Captures d'écran de l'interface Chatbot</w:t>
      </w:r>
    </w:p>
    <w:p>
      <w:pPr>
        <w:pStyle w:val="ListParagraph"/>
        <w:numPr>
          <w:ilvl w:val="0"/>
          <w:numId w:val="2"/>
        </w:numPr>
        <w:spacing w:after="60" w:before="60"/>
      </w:pPr>
      <w:r>
        <w:rPr>
          <w:rFonts w:ascii="Arial" w:cs="Arial" w:eastAsia="Arial" w:hAnsi="Arial"/>
          <w:color w:val="1A1A1A"/>
          <w:sz w:val="22"/>
          <w:szCs w:val="22"/>
        </w:rPr>
        <w:t xml:space="preserve">Annexe D</w:t>
      </w:r>
      <w:r>
        <w:rPr>
          <w:rFonts w:ascii="Arial" w:cs="Arial" w:eastAsia="Arial" w:hAnsi="Arial"/>
          <w:i/>
          <w:iCs/>
          <w:color w:val="555555"/>
          <w:sz w:val="22"/>
          <w:szCs w:val="22"/>
        </w:rPr>
        <w:t xml:space="preserve"> — Exemples de requêtes Cypher utilisées pour le POC</w:t>
      </w:r>
    </w:p>
    <w:p>
      <w:pPr>
        <w:pStyle w:val="ListParagraph"/>
        <w:numPr>
          <w:ilvl w:val="0"/>
          <w:numId w:val="2"/>
        </w:numPr>
        <w:spacing w:after="60" w:before="60"/>
      </w:pPr>
      <w:r>
        <w:rPr>
          <w:rFonts w:ascii="Arial" w:cs="Arial" w:eastAsia="Arial" w:hAnsi="Arial"/>
          <w:color w:val="1A1A1A"/>
          <w:sz w:val="22"/>
          <w:szCs w:val="22"/>
        </w:rPr>
        <w:t xml:space="preserve">Annexe E</w:t>
      </w:r>
      <w:r>
        <w:rPr>
          <w:rFonts w:ascii="Arial" w:cs="Arial" w:eastAsia="Arial" w:hAnsi="Arial"/>
          <w:i/>
          <w:iCs/>
          <w:color w:val="555555"/>
          <w:sz w:val="22"/>
          <w:szCs w:val="22"/>
        </w:rPr>
        <w:t xml:space="preserve"> — Glossaire des termes techniques</w:t>
      </w:r>
    </w:p>
    <w:p>
      <w:pPr>
        <w:spacing w:after="0" w:before="200"/>
      </w:pPr>
      <w:r>
        <w:t xml:space="preserve"/>
      </w:r>
    </w:p>
    <w:p>
      <w:pPr>
        <w:jc w:val="center"/>
      </w:pPr>
      <w:r>
        <w:rPr>
          <w:rFonts w:ascii="Arial" w:cs="Arial" w:eastAsia="Arial" w:hAnsi="Arial"/>
          <w:i/>
          <w:iCs/>
          <w:color w:val="AAAAAA"/>
          <w:sz w:val="22"/>
          <w:szCs w:val="22"/>
        </w:rPr>
        <w:t xml:space="preserve">[Insérer les annexes ici]</w:t>
      </w:r>
    </w:p>
    <w:sectPr>
      <w:headerReference w:type="default" r:id="rId7"/>
      <w:footerReference w:type="default" r:id="rId8"/>
      <w:pgSz w:w="11906" w:h="16838"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5E" w:sz="4" w:space="4"/>
      </w:pBdr>
      <w:jc w:val="center"/>
    </w:pPr>
    <w:r>
      <w:rPr>
        <w:rFonts w:ascii="Arial" w:cs="Arial" w:eastAsia="Arial" w:hAnsi="Arial"/>
        <w:color w:val="555555"/>
        <w:sz w:val="18"/>
        <w:szCs w:val="18"/>
      </w:rPr>
      <w:t xml:space="preserve">BNP Paribas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5E" w:sz="4" w:space="4"/>
      </w:pBdr>
    </w:pPr>
    <w:r>
      <w:rPr>
        <w:rFonts w:ascii="Arial" w:cs="Arial" w:eastAsia="Arial" w:hAnsi="Arial"/>
        <w:color w:val="00965E"/>
        <w:sz w:val="18"/>
        <w:szCs w:val="18"/>
      </w:rPr>
      <w:t xml:space="preserve">BNP Paribas — Communication Groupe</w:t>
    </w:r>
    <w:r>
      <w:rPr>
        <w:rFonts w:ascii="Arial" w:cs="Arial" w:eastAsia="Arial" w:hAnsi="Arial"/>
        <w:color w:val="555555"/>
        <w:sz w:val="18"/>
        <w:szCs w:val="18"/>
      </w:rPr>
      <w:t xml:space="preserve">     |     Rapport de Stage — Knowledge &amp; Data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965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965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2026-05-13T09:31:54.648Z</dcterms:created>
  <dcterms:modified xsi:type="dcterms:W3CDTF">2026-05-13T09:31:54.649Z</dcterms:modified>
</cp:coreProperties>
</file>

<file path=docProps/custom.xml><?xml version="1.0" encoding="utf-8"?>
<Properties xmlns="http://schemas.openxmlformats.org/officeDocument/2006/custom-properties" xmlns:vt="http://schemas.openxmlformats.org/officeDocument/2006/docPropsVTypes"/>
</file>