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A2321"/>
          <w:spacing w:val="40"/>
          <w:sz w:val="40"/>
          <w:szCs w:val="40"/>
        </w:rPr>
        <w:t xml:space="preserve">PAPA MBAO</w:t>
      </w:r>
    </w:p>
    <w:p>
      <w:pPr>
        <w:spacing w:after="90"/>
      </w:pPr>
      <w:r>
        <w:rPr>
          <w:rFonts w:ascii="Calibri" w:cs="Calibri" w:eastAsia="Calibri" w:hAnsi="Calibri"/>
          <w:color w:val="0B5D57"/>
          <w:spacing w:val="8"/>
          <w:sz w:val="22"/>
          <w:szCs w:val="22"/>
        </w:rPr>
        <w:t xml:space="preserve">Platform &amp; Solutions Engineer  —  Learning Systems</w:t>
      </w:r>
    </w:p>
    <w:p>
      <w:pPr>
        <w:pBdr>
          <w:bottom w:val="single" w:color="0B5D57" w:sz="10" w:space="8"/>
        </w:pBdr>
        <w:spacing w:after="40"/>
      </w:pPr>
      <w:r>
        <w:rPr>
          <w:rFonts w:ascii="Calibri" w:cs="Calibri" w:eastAsia="Calibri" w:hAnsi="Calibri"/>
          <w:color w:val="4F5D5A"/>
          <w:sz w:val="18"/>
          <w:szCs w:val="18"/>
        </w:rPr>
        <w:t xml:space="preserve">Calgary, AB</w:t>
      </w:r>
      <w:r>
        <w:rPr>
          <w:rFonts w:ascii="Calibri" w:cs="Calibri" w:eastAsia="Calibri" w:hAnsi="Calibri"/>
          <w:color w:val="0B5D57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4F5D5A"/>
          <w:sz w:val="18"/>
          <w:szCs w:val="18"/>
        </w:rPr>
        <w:t xml:space="preserve">(587) 438-4464</w:t>
      </w:r>
      <w:r>
        <w:rPr>
          <w:rFonts w:ascii="Calibri" w:cs="Calibri" w:eastAsia="Calibri" w:hAnsi="Calibri"/>
          <w:color w:val="0B5D57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4F5D5A"/>
          <w:sz w:val="18"/>
          <w:szCs w:val="18"/>
        </w:rPr>
        <w:t xml:space="preserve">pap.bconsulting@gmail.com</w:t>
      </w:r>
      <w:r>
        <w:rPr>
          <w:rFonts w:ascii="Calibri" w:cs="Calibri" w:eastAsia="Calibri" w:hAnsi="Calibri"/>
          <w:color w:val="0B5D57"/>
          <w:sz w:val="18"/>
          <w:szCs w:val="18"/>
        </w:rPr>
        <w:t xml:space="preserve">   •   </w:t>
      </w:r>
      <w:hyperlink w:history="1" r:id="rId2m-xxamfxjokt2yxfyw1r">
        <w:r>
          <w:rPr>
            <w:rFonts w:ascii="Calibri" w:cs="Calibri" w:eastAsia="Calibri" w:hAnsi="Calibri"/>
            <w:color w:val="0B5D57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0B5D57"/>
          <w:sz w:val="18"/>
          <w:szCs w:val="18"/>
        </w:rPr>
        <w:t xml:space="preserve">   •   </w:t>
      </w:r>
      <w:hyperlink w:history="1" r:id="rIdrwgbnrq0pyfhg0bbqetlr">
        <w:r>
          <w:rPr>
            <w:rFonts w:ascii="Calibri" w:cs="Calibri" w:eastAsia="Calibri" w:hAnsi="Calibri"/>
            <w:color w:val="0B5D57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0B5D57"/>
          <w:sz w:val="18"/>
          <w:szCs w:val="18"/>
        </w:rPr>
        <w:t xml:space="preserve">   •   </w:t>
      </w:r>
      <w:hyperlink w:history="1" r:id="rId1mnglwsheviskeoisdnsm">
        <w:r>
          <w:rPr>
            <w:rFonts w:ascii="Calibri" w:cs="Calibri" w:eastAsia="Calibri" w:hAnsi="Calibri"/>
            <w:color w:val="0B5D57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0B5D57"/>
          <w:sz w:val="18"/>
          <w:szCs w:val="18"/>
        </w:rPr>
        <w:t xml:space="preserve">   •   </w:t>
      </w:r>
      <w:r>
        <w:rPr>
          <w:rFonts w:ascii="Calibri" w:cs="Calibri" w:eastAsia="Calibri" w:hAnsi="Calibri"/>
          <w:color w:val="4F5D5A"/>
          <w:sz w:val="18"/>
          <w:szCs w:val="18"/>
        </w:rPr>
        <w:t xml:space="preserve">Bilingual EN / FR</w:t>
      </w:r>
    </w:p>
    <w:p>
      <w:pPr>
        <w:pBdr>
          <w:bottom w:val="single" w:color="0B5D57" w:sz="6" w:space="4"/>
        </w:pBdr>
        <w:spacing w:after="95" w:before="205"/>
      </w:pPr>
      <w:r>
        <w:rPr>
          <w:rFonts w:ascii="Calibri" w:cs="Calibri" w:eastAsia="Calibri" w:hAnsi="Calibri"/>
          <w:b/>
          <w:bCs/>
          <w:color w:val="0B5D57"/>
          <w:spacing w:val="30"/>
          <w:sz w:val="20"/>
          <w:szCs w:val="20"/>
        </w:rPr>
        <w:t xml:space="preserve">PROFILE</w:t>
      </w:r>
    </w:p>
    <w:p>
      <w:pPr>
        <w:spacing w:after="70" w:before="0" w:line="266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Engineer with 7+ years building and operating enterprise learning systems — platform architecture, authentication, integrations, and learning data. I build the software behind training programs, not just the courseware: a two-application SPA platform with Auth0 RBAC deployed on Cloudflare, an ASR caption pipeline rebuilt around Whisper forced alignment, and Python/Flask automation toolchains in daily production use by a content team.</w:t>
      </w:r>
    </w:p>
    <w:p>
      <w:pPr>
        <w:spacing w:after="40" w:before="0" w:line="266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Deep working knowledge of the standards enterprise learning runs on — SCORM 1.2/2004, xAPI, cmi5, AICC — plus LMS integration, reporting and data integrity, and WCAG 2.1 AA accessibility. Comfortable across the stack and across the table: I have led technical implementations with HR, IT, business stakeholders and SMEs. Bilingual English / French.</w:t>
      </w:r>
    </w:p>
    <w:p>
      <w:pPr>
        <w:pBdr>
          <w:bottom w:val="single" w:color="0B5D57" w:sz="6" w:space="4"/>
        </w:pBdr>
        <w:spacing w:after="95" w:before="205"/>
      </w:pPr>
      <w:r>
        <w:rPr>
          <w:rFonts w:ascii="Calibri" w:cs="Calibri" w:eastAsia="Calibri" w:hAnsi="Calibri"/>
          <w:b/>
          <w:bCs/>
          <w:color w:val="0B5D57"/>
          <w:spacing w:val="30"/>
          <w:sz w:val="20"/>
          <w:szCs w:val="20"/>
        </w:rPr>
        <w:t xml:space="preserve">TECHNICAL SKILLS</w:t>
      </w:r>
    </w:p>
    <w:p>
      <w:pPr>
        <w:spacing w:after="44" w:before="0" w:line="258"/>
        <w:ind w:left="1411" w:hanging="1411"/>
      </w:pPr>
      <w:r>
        <w:rPr>
          <w:rFonts w:ascii="Calibri" w:cs="Calibri" w:eastAsia="Calibri" w:hAnsi="Calibri"/>
          <w:b/>
          <w:bCs/>
          <w:color w:val="0B5D57"/>
          <w:sz w:val="19"/>
          <w:szCs w:val="19"/>
        </w:rPr>
        <w:t xml:space="preserve">Languages  </w:t>
      </w:r>
      <w:r>
        <w:rPr>
          <w:rFonts w:ascii="Calibri" w:cs="Calibri" w:eastAsia="Calibri" w:hAnsi="Calibri"/>
          <w:color w:val="1A2321"/>
          <w:sz w:val="19"/>
          <w:szCs w:val="19"/>
        </w:rPr>
        <w:t xml:space="preserve">JavaScript (ES6+), Python, SQL, HTML5, CSS3, PowerShell, ExtendScript, VBA</w:t>
      </w:r>
    </w:p>
    <w:p>
      <w:pPr>
        <w:spacing w:after="44" w:before="0" w:line="258"/>
        <w:ind w:left="1411" w:hanging="1411"/>
      </w:pPr>
      <w:r>
        <w:rPr>
          <w:rFonts w:ascii="Calibri" w:cs="Calibri" w:eastAsia="Calibri" w:hAnsi="Calibri"/>
          <w:b/>
          <w:bCs/>
          <w:color w:val="0B5D57"/>
          <w:sz w:val="19"/>
          <w:szCs w:val="19"/>
        </w:rPr>
        <w:t xml:space="preserve">Frameworks  </w:t>
      </w:r>
      <w:r>
        <w:rPr>
          <w:rFonts w:ascii="Calibri" w:cs="Calibri" w:eastAsia="Calibri" w:hAnsi="Calibri"/>
          <w:color w:val="1A2321"/>
          <w:sz w:val="19"/>
          <w:szCs w:val="19"/>
        </w:rPr>
        <w:t xml:space="preserve">React, Flask, Node.js, single-page application architecture, REST API design</w:t>
      </w:r>
    </w:p>
    <w:p>
      <w:pPr>
        <w:spacing w:after="44" w:before="0" w:line="258"/>
        <w:ind w:left="1411" w:hanging="1411"/>
      </w:pPr>
      <w:r>
        <w:rPr>
          <w:rFonts w:ascii="Calibri" w:cs="Calibri" w:eastAsia="Calibri" w:hAnsi="Calibri"/>
          <w:b/>
          <w:bCs/>
          <w:color w:val="0B5D57"/>
          <w:sz w:val="19"/>
          <w:szCs w:val="19"/>
        </w:rPr>
        <w:t xml:space="preserve">Cloud &amp; Auth  </w:t>
      </w:r>
      <w:r>
        <w:rPr>
          <w:rFonts w:ascii="Calibri" w:cs="Calibri" w:eastAsia="Calibri" w:hAnsi="Calibri"/>
          <w:color w:val="1A2321"/>
          <w:sz w:val="19"/>
          <w:szCs w:val="19"/>
        </w:rPr>
        <w:t xml:space="preserve">Cloudflare Pages, Auth0 (RBAC, React SDK v2, scoped API audiences), edge functions, environment and VM management (Windows / macOS / Parallels)</w:t>
      </w:r>
    </w:p>
    <w:p>
      <w:pPr>
        <w:spacing w:after="44" w:before="0" w:line="258"/>
        <w:ind w:left="1411" w:hanging="1411"/>
      </w:pPr>
      <w:r>
        <w:rPr>
          <w:rFonts w:ascii="Calibri" w:cs="Calibri" w:eastAsia="Calibri" w:hAnsi="Calibri"/>
          <w:b/>
          <w:bCs/>
          <w:color w:val="0B5D57"/>
          <w:sz w:val="19"/>
          <w:szCs w:val="19"/>
        </w:rPr>
        <w:t xml:space="preserve">Data  </w:t>
      </w:r>
      <w:r>
        <w:rPr>
          <w:rFonts w:ascii="Calibri" w:cs="Calibri" w:eastAsia="Calibri" w:hAnsi="Calibri"/>
          <w:color w:val="1A2321"/>
          <w:sz w:val="19"/>
          <w:szCs w:val="19"/>
        </w:rPr>
        <w:t xml:space="preserve">Learning analytics pipelines, LMS reporting and data integrity, dashboard design, xAPI statement modelling</w:t>
      </w:r>
    </w:p>
    <w:p>
      <w:pPr>
        <w:spacing w:after="44" w:before="0" w:line="258"/>
        <w:ind w:left="1411" w:hanging="1411"/>
      </w:pPr>
      <w:r>
        <w:rPr>
          <w:rFonts w:ascii="Calibri" w:cs="Calibri" w:eastAsia="Calibri" w:hAnsi="Calibri"/>
          <w:b/>
          <w:bCs/>
          <w:color w:val="0B5D57"/>
          <w:sz w:val="19"/>
          <w:szCs w:val="19"/>
        </w:rPr>
        <w:t xml:space="preserve">ML &amp; Audio  </w:t>
      </w:r>
      <w:r>
        <w:rPr>
          <w:rFonts w:ascii="Calibri" w:cs="Calibri" w:eastAsia="Calibri" w:hAnsi="Calibri"/>
          <w:color w:val="1A2321"/>
          <w:sz w:val="19"/>
          <w:szCs w:val="19"/>
        </w:rPr>
        <w:t xml:space="preserve">Whisper ASR via @huggingface/transformers, word-level forced alignment, Needleman–Wunsch sequence alignment, client-side inference</w:t>
      </w:r>
    </w:p>
    <w:p>
      <w:pPr>
        <w:spacing w:after="44" w:before="0" w:line="258"/>
        <w:ind w:left="1411" w:hanging="1411"/>
      </w:pPr>
      <w:r>
        <w:rPr>
          <w:rFonts w:ascii="Calibri" w:cs="Calibri" w:eastAsia="Calibri" w:hAnsi="Calibri"/>
          <w:b/>
          <w:bCs/>
          <w:color w:val="0B5D57"/>
          <w:sz w:val="19"/>
          <w:szCs w:val="19"/>
        </w:rPr>
        <w:t xml:space="preserve">Learning Tech  </w:t>
      </w:r>
      <w:r>
        <w:rPr>
          <w:rFonts w:ascii="Calibri" w:cs="Calibri" w:eastAsia="Calibri" w:hAnsi="Calibri"/>
          <w:color w:val="1A2321"/>
          <w:sz w:val="19"/>
          <w:szCs w:val="19"/>
        </w:rPr>
        <w:t xml:space="preserve">SCORM 1.2/2004, xAPI/Tin Can, cmi5, AICC; Cornerstone, Moodle, SCORM Cloud, Xact; Storyline, Rise 360, Lectora, Captivate, H5P</w:t>
      </w:r>
    </w:p>
    <w:p>
      <w:pPr>
        <w:spacing w:after="44" w:before="0" w:line="258"/>
        <w:ind w:left="1411" w:hanging="1411"/>
      </w:pPr>
      <w:r>
        <w:rPr>
          <w:rFonts w:ascii="Calibri" w:cs="Calibri" w:eastAsia="Calibri" w:hAnsi="Calibri"/>
          <w:b/>
          <w:bCs/>
          <w:color w:val="0B5D57"/>
          <w:sz w:val="19"/>
          <w:szCs w:val="19"/>
        </w:rPr>
        <w:t xml:space="preserve">Accessibility  </w:t>
      </w:r>
      <w:r>
        <w:rPr>
          <w:rFonts w:ascii="Calibri" w:cs="Calibri" w:eastAsia="Calibri" w:hAnsi="Calibri"/>
          <w:color w:val="1A2321"/>
          <w:sz w:val="19"/>
          <w:szCs w:val="19"/>
        </w:rPr>
        <w:t xml:space="preserve">WCAG 2.1 AA — audit, remediation, and inclusive design practice across all deliverables</w:t>
      </w:r>
    </w:p>
    <w:p>
      <w:pPr>
        <w:pBdr>
          <w:bottom w:val="single" w:color="0B5D57" w:sz="6" w:space="4"/>
        </w:pBdr>
        <w:spacing w:after="95" w:before="205"/>
      </w:pPr>
      <w:r>
        <w:rPr>
          <w:rFonts w:ascii="Calibri" w:cs="Calibri" w:eastAsia="Calibri" w:hAnsi="Calibri"/>
          <w:b/>
          <w:bCs/>
          <w:color w:val="0B5D57"/>
          <w:spacing w:val="30"/>
          <w:sz w:val="20"/>
          <w:szCs w:val="20"/>
        </w:rPr>
        <w:t xml:space="preserve">SELECTED ENGINEERING WORK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LearnFlow — Enterprise Learning Platform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2025 – Present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Architect &amp; Developer  |  React, Auth0, Cloudflare Pages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Designed and built a two-application SPA platform — separate learner and admin surfaces — with deliberately distinct security postures for each, deployed on Cloudflare Pages.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Implemented the full authentication and authorization model on Auth0: RBAC roles and permissions, React Auth0 SDK v2 integration, and a scoped API audience for the backend service.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Preparing a production pilot with two external enterprise design partners.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Caption Studio — Automated Caption Timing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2026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Architect &amp; Developer  |  Whisper, transformers.js, edge functions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b w:val="false"/>
          <w:bCs w:val="false"/>
          <w:color w:val="1A2321"/>
          <w:sz w:val="19"/>
          <w:szCs w:val="19"/>
        </w:rPr>
        <w:t xml:space="preserve">Diagnosed the root cause of persistent timing drift: </w:t>
      </w:r>
      <w:r>
        <w:rPr>
          <w:rFonts w:ascii="Calibri" w:cs="Calibri" w:eastAsia="Calibri" w:hAnsi="Calibri"/>
          <w:b w:val="false"/>
          <w:bCs w:val="false"/>
          <w:color w:val="1A2321"/>
          <w:sz w:val="19"/>
          <w:szCs w:val="19"/>
        </w:rPr>
        <w:t xml:space="preserve">the pipeline was using an LLM to produce word-level timestamps, which LLMs estimate rather than measure — error compounding with audio length.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Re-architected around a separation of concerns — the LLM handles text quality only; Whisper handles all timing through real word-level alignment.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Implemented forced alignment with Needleman–Wunsch dynamic programming to map user-supplied scripts onto the ASR word sequence, the same approach used by WhisperX and stable-ts.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Designed a three-stage fallback chain and lazy-loaded model weights to control bundle size, while preserving existing edge-function contracts with no new backend runtime.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PowerPoint → InDesign Conversion Toolchain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2025 – 2026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Python, Flask, Adobe ExtendScript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Built a three-part toolchain now in production use: a Python extraction GUI, a Flask web application for team-wide access, and an InDesign ExtendScript formatter driven by a configurable style map derived from the existing master template.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Optimized formatter performance for large multi-page documents.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PowerPoint Differencing Engine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2025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Python (python-pptx)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Replaced a brittle VBA macro with a Python comparison engine that recurses into grouped shapes and compares tables cell-by-cell, producing structured difference reports for content review.</w:t>
      </w:r>
    </w:p>
    <w:p>
      <w:pPr>
        <w:pBdr>
          <w:bottom w:val="single" w:color="0B5D57" w:sz="6" w:space="4"/>
        </w:pBdr>
        <w:spacing w:after="95" w:before="205"/>
      </w:pPr>
      <w:r>
        <w:rPr>
          <w:rFonts w:ascii="Calibri" w:cs="Calibri" w:eastAsia="Calibri" w:hAnsi="Calibri"/>
          <w:b/>
          <w:bCs/>
          <w:color w:val="0B5D57"/>
          <w:spacing w:val="30"/>
          <w:sz w:val="20"/>
          <w:szCs w:val="20"/>
        </w:rPr>
        <w:t xml:space="preserve">PROFESSIONAL EXPERIENCE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Senior Learning Developer &amp; LMS Administrator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Jun 2020 – Present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Xpan Interactive Inc.  |  Calgary, AB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Administer and integrate enterprise LMS platforms (Cornerstone, Moodle, SCORM Cloud, Xact): catalogue and curriculum configuration, enrolment workflows, user access and role models, data integrity, and system performance.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Deploy and troubleshoot SCORM 1.2/2004 and xAPI content pipelines with validated tracking, compliance reporting, and audit support for stakeholders.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Built LMS analytics dashboards surfacing real-time learner performance data to program managers, enabling data-driven decisions on program effectiveness and content investment.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Developed custom HTML5 / JavaScript interactions extending authoring-tool capability beyond its defaults, and applied WCAG 2.1 AA standards across all deliverables.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Increased course completion rates 25% through instrumented gamification mechanics embedded in SCORM modules.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Partner with HR, IT, business leaders and SMEs to align learning systems with operational, compliance and safety requirements — scoping, implementation, and handover.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eLearning Developer — Lectora Specialist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Mar 2025 – May 2026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Calian Group Ltd (remote contract)  |  Ottawa, ON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Extended course functionality with JavaScript and HTML5 for advanced interactive scenarios; ensured WCAG 2.1 AA compliance and cross-platform compatibility.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Delivered SCORM / xAPI-compliant modules for a national training audience.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eLearning Developer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Feb 2019 – Jun 2020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Educatus (remote contract)  |  Brampton, ON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Integrated H5P, HTML5 and SCORM for multi-device LMS delivery; applied responsive design and accessibility principles across desktop, tablet and mobile.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Multimedia Developer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Jun 2017 – Jun 2020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Parenty Reitmeier Inc.  |  Winnipeg, MB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Produced eLearning modules, training animations and video for corporate audiences using Storyline, Captivate, Camtasia and After Effects.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Led localization of courses into French and Spanish, broadening access for multilingual learner populations.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IT Assistant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Sep 2015 – May 2016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Université de Saint-Boniface  |  Winnipeg, MB</w:t>
      </w:r>
    </w:p>
    <w:p>
      <w:pPr>
        <w:pStyle w:val="ListParagraph"/>
        <w:numPr>
          <w:ilvl w:val="0"/>
          <w:numId w:val="2"/>
        </w:numPr>
        <w:spacing w:after="44" w:before="0" w:line="258"/>
      </w:pPr>
      <w:r>
        <w:rPr>
          <w:rFonts w:ascii="Calibri" w:cs="Calibri" w:eastAsia="Calibri" w:hAnsi="Calibri"/>
          <w:color w:val="1A2321"/>
          <w:sz w:val="19"/>
          <w:szCs w:val="19"/>
        </w:rPr>
        <w:t xml:space="preserve">Supported the IT department: equipment lifecycle tracking, IT project coordination, and inventory management.</w:t>
      </w:r>
    </w:p>
    <w:p>
      <w:pPr>
        <w:pBdr>
          <w:bottom w:val="single" w:color="0B5D57" w:sz="6" w:space="4"/>
        </w:pBdr>
        <w:spacing w:after="95" w:before="205"/>
      </w:pPr>
      <w:r>
        <w:rPr>
          <w:rFonts w:ascii="Calibri" w:cs="Calibri" w:eastAsia="Calibri" w:hAnsi="Calibri"/>
          <w:b/>
          <w:bCs/>
          <w:color w:val="0B5D57"/>
          <w:spacing w:val="30"/>
          <w:sz w:val="20"/>
          <w:szCs w:val="20"/>
        </w:rPr>
        <w:t xml:space="preserve">EDUCATION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Diploma, Multimedia Communication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2014 – 2017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Université de Saint-Boniface  |  Winnipeg, MB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Master’s, Multimedia Communication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2010 – 2012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Université Libre de Dakar  |  Dakar, Senegal</w:t>
      </w:r>
    </w:p>
    <w:p>
      <w:pPr>
        <w:tabs>
          <w:tab w:val="right" w:pos="10224"/>
        </w:tabs>
        <w:spacing w:after="0" w:before="130"/>
      </w:pPr>
      <w:r>
        <w:rPr>
          <w:rFonts w:ascii="Calibri" w:cs="Calibri" w:eastAsia="Calibri" w:hAnsi="Calibri"/>
          <w:b/>
          <w:bCs/>
          <w:color w:val="1A2321"/>
          <w:sz w:val="21"/>
          <w:szCs w:val="21"/>
        </w:rPr>
        <w:t xml:space="preserve">Bachelor’s, Public Relations, Advertising &amp; Applied Communication</w:t>
      </w:r>
      <w:r>
        <w:tab/>
      </w:r>
      <w:r>
        <w:rPr>
          <w:rFonts w:ascii="Calibri" w:cs="Calibri" w:eastAsia="Calibri" w:hAnsi="Calibri"/>
          <w:color w:val="4F5D5A"/>
          <w:sz w:val="19"/>
          <w:szCs w:val="19"/>
        </w:rPr>
        <w:t xml:space="preserve">2007 – 2010</w:t>
      </w:r>
    </w:p>
    <w:p>
      <w:pPr>
        <w:spacing w:after="48" w:before="8"/>
      </w:pPr>
      <w:r>
        <w:rPr>
          <w:rFonts w:ascii="Calibri" w:cs="Calibri" w:eastAsia="Calibri" w:hAnsi="Calibri"/>
          <w:i/>
          <w:iCs/>
          <w:color w:val="4F5D5A"/>
          <w:sz w:val="19"/>
          <w:szCs w:val="19"/>
        </w:rPr>
        <w:t xml:space="preserve">Université Libre de Dakar  |  Dakar, Senegal</w:t>
      </w:r>
    </w:p>
    <w:sectPr>
      <w:pgSz w:w="12240" w:h="15840" w:orient="portrait"/>
      <w:pgMar w:top="792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01"/>
      </w:pPr>
      <w:rPr>
        <w:color w:val="0B5D57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2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m-xxamfxjokt2yxfyw1r" Type="http://schemas.openxmlformats.org/officeDocument/2006/relationships/hyperlink" Target="https://www.linkedin.com/" TargetMode="External"/><Relationship Id="rIdrwgbnrq0pyfhg0bbqetlr" Type="http://schemas.openxmlformats.org/officeDocument/2006/relationships/hyperlink" Target="https://example.com/" TargetMode="External"/><Relationship Id="rId1mnglwsheviskeoisdnsm" Type="http://schemas.openxmlformats.org/officeDocument/2006/relationships/hyperlink" Target="https://github.com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Papa Mbao — Platform &amp; Solutions Engineer</dc:title>
  <dc:creator>Papa Mbao</dc:creator>
  <cp:lastModifiedBy>Un-named</cp:lastModifiedBy>
  <cp:revision>1</cp:revision>
  <dcterms:created xsi:type="dcterms:W3CDTF">2026-09-11T23:37:48.452Z</dcterms:created>
  <dcterms:modified xsi:type="dcterms:W3CDTF">2026-09-11T23:37:48.453Z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