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color w:val="0D0F12"/>
          <w:sz w:val="72"/>
          <w:szCs w:val="72"/>
        </w:rPr>
        <w:t xml:space="preserve">CLINOVYR</w:t>
      </w:r>
    </w:p>
    <w:p>
      <w:pPr>
        <w:spacing w:after="500"/>
        <w:jc w:val="center"/>
      </w:pPr>
      <w:r>
        <w:rPr>
          <w:i/>
          <w:iCs/>
          <w:color w:val="1A6B5A"/>
          <w:sz w:val="32"/>
          <w:szCs w:val="32"/>
        </w:rPr>
        <w:t xml:space="preserve">Intelligence, Applied.</w:t>
      </w:r>
    </w:p>
    <w:p>
      <w:pPr>
        <w:spacing w:after="200"/>
        <w:jc w:val="center"/>
      </w:pPr>
      <w:r>
        <w:rPr>
          <w:b/>
          <w:bCs/>
          <w:color w:val="0D0F12"/>
          <w:sz w:val="40"/>
          <w:szCs w:val="40"/>
        </w:rPr>
        <w:t xml:space="preserve">Master Document</w:t>
      </w:r>
    </w:p>
    <w:p>
      <w:pPr>
        <w:spacing w:after="2200"/>
        <w:jc w:val="center"/>
      </w:pPr>
      <w:r>
        <w:rPr>
          <w:color w:val="7A7468"/>
          <w:sz w:val="24"/>
          <w:szCs w:val="24"/>
        </w:rPr>
        <w:t xml:space="preserve">How the System Works  ·  Business Model  ·  Customer Acquisition Strategy</w:t>
      </w:r>
    </w:p>
    <w:p>
      <w:pPr>
        <w:jc w:val="center"/>
      </w:pPr>
      <w:r>
        <w:rPr>
          <w:color w:val="7A7468"/>
          <w:sz w:val="20"/>
          <w:szCs w:val="20"/>
        </w:rPr>
        <w:t xml:space="preserve">June 2026 · Internal — Confidential</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40"/>
      </w:pPr>
      <w:r>
        <w:rPr>
          <w:sz w:val="22"/>
          <w:szCs w:val="22"/>
        </w:rPr>
        <w:t xml:space="preserve">Clinovyr is a productized AI consulting business for Placer County small businesses. A prospect takes a free 10-minute AI-readiness survey, receives an instant score with ranked automation opportunities and an ROI estimate, and can purchase one of three packages. Within minutes of payment, a document-generation engine produces a full set of industry-specific deliverables — readiness reports, opportunity roadmaps, importable automation blueprints, setup guides, and live-formula ROI calculators — customized to the buyer's survey answers and delivered to a client portal. Every package includes live setup help from a real person.</w:t>
      </w:r>
    </w:p>
    <w:p>
      <w:pPr>
        <w:spacing w:after="140"/>
      </w:pPr>
      <w:r>
        <w:rPr>
          <w:sz w:val="22"/>
          <w:szCs w:val="22"/>
        </w:rPr>
        <w:t xml:space="preserve">The business has three structural advantages. First, near-zero marginal cost: each sale costs a few dollars of AI inference and payment processing, so gross margins before labor exceed 95%. Second, speed as a wedge: comparable consultant-delivered assessments cost $2,000–$15,000 and take 2–3 weeks; Clinovyr delivers in minutes. Third, the engine is leverage: the same system that serves customers can mass-produce the marketing content used to acquire them.</w:t>
      </w:r>
    </w:p>
    <w:p>
      <w:pPr>
        <w:spacing w:after="140"/>
      </w:pPr>
      <w:r>
        <w:rPr>
          <w:sz w:val="22"/>
          <w:szCs w:val="22"/>
        </w:rPr>
        <w:t xml:space="preserve">This document explains exactly how the system works module by module (Sections 2–4), how the business makes money and where pricing stands against the 2026 market (Section 5), and a concrete AI-and-automation-driven plan for acquiring customers through content, social campaigns, and paid ads (Section 6).</w:t>
      </w:r>
    </w:p>
    <w:p>
      <w:pPr>
        <w:pStyle w:val="Heading1"/>
        <w:pageBreakBefore/>
      </w:pPr>
      <w:r>
        <w:t xml:space="preserve">2. What Clinovyr Sells</w:t>
      </w:r>
    </w:p>
    <w:p>
      <w:pPr>
        <w:spacing w:after="140"/>
      </w:pPr>
      <w:r>
        <w:rPr>
          <w:sz w:val="22"/>
          <w:szCs w:val="22"/>
        </w:rPr>
        <w:t xml:space="preserve">Three one-time packages, each delivered to the client portal within minutes of checkout. All long-term consulting tiers (retainers, fractional CAIO) have been removed; the offer is deliverables plus included setup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300"/>
        <w:gridCol w:w="2160"/>
      </w:tblGrid>
      <w:tr>
        <w:tc>
          <w:tcPr>
            <w:tcW w:type="dxa" w:w="26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Package</w:t>
            </w:r>
          </w:p>
        </w:tc>
        <w:tc>
          <w:tcPr>
            <w:tcW w:type="dxa" w:w="13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Price</w:t>
            </w:r>
          </w:p>
        </w:tc>
        <w:tc>
          <w:tcPr>
            <w:tcW w:type="dxa" w:w="33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What the customer gets</w:t>
            </w:r>
          </w:p>
        </w:tc>
        <w:tc>
          <w:tcPr>
            <w:tcW w:type="dxa" w:w="21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Human help included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AI Opportunity Audit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$1,500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Opportunity Brief (top automations ranked by ROI), 30-day Implementation Checklist, Tool Recommendations guide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Setup call + email support</w:t>
            </w:r>
          </w:p>
        </w:tc>
      </w:tr>
      <w:tr>
        <w:tc>
          <w:tcPr>
            <w:tcW w:type="dxa" w:w="26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AI Readiness Assessment</w:t>
            </w:r>
          </w:p>
        </w:tc>
        <w:tc>
          <w:tcPr>
            <w:tcW w:type="dxa" w:w="1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$5,000</w:t>
            </w:r>
          </w:p>
        </w:tc>
        <w:tc>
          <w:tcPr>
            <w:tcW w:type="dxa" w:w="3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Full AI Readiness Report (5-category score), Opportunity Roadmap, Tool Stack Guide, Implementation Checklist, Executive Briefing deck</w:t>
            </w:r>
          </w:p>
        </w:tc>
        <w:tc>
          <w:tcPr>
            <w:tcW w:type="dxa" w:w="21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Setup sessions + 30-day email support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Workflow Automation Sprint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$12,000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Everything above plus importable automation blueprints (Make.com), CRM Setup Guide, Staff Training Guide, ROI Calculator with live Excel formulas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Working sessions where Clinovyr implements the first automations with the customer + 30-day support</w:t>
            </w:r>
          </w:p>
        </w:tc>
      </w:tr>
    </w:tbl>
    <w:p>
      <w:pPr>
        <w:spacing w:after="120"/>
      </w:pPr>
    </w:p>
    <w:p>
      <w:pPr>
        <w:spacing w:after="140"/>
      </w:pPr>
      <w:r>
        <w:rPr>
          <w:sz w:val="22"/>
          <w:szCs w:val="22"/>
        </w:rPr>
        <w:t xml:space="preserve">Six supported industries, each with its own deliverable variants: Medical &amp; Dental, Real Estate, Legal &amp; Financial, Construction, Wellness &amp; Med Spa, and Retail &amp; Hospitality (plus a generic track for anything else). Self-serve Industry Playbooks ($497) exist as a separate product at buy.clinovyr.com and serve as a future low-friction entry point.</w:t>
      </w:r>
    </w:p>
    <w:p>
      <w:pPr>
        <w:pStyle w:val="Heading1"/>
        <w:pageBreakBefore/>
      </w:pPr>
      <w:r>
        <w:t xml:space="preserve">3. How the System Works — End to End</w:t>
      </w:r>
    </w:p>
    <w:p>
      <w:pPr>
        <w:spacing w:after="140"/>
      </w:pPr>
      <w:r>
        <w:rPr>
          <w:sz w:val="22"/>
          <w:szCs w:val="22"/>
        </w:rPr>
        <w:t xml:space="preserve">The customer journey, from first visit to delivered files:</w:t>
      </w:r>
    </w:p>
    <w:p>
      <w:pPr>
        <w:pStyle w:val="ListParagraph"/>
        <w:numPr>
          <w:ilvl w:val="0"/>
          <w:numId w:val="2"/>
        </w:numPr>
        <w:spacing w:after="80"/>
      </w:pPr>
      <w:r>
        <w:rPr>
          <w:sz w:val="22"/>
          <w:szCs w:val="22"/>
        </w:rPr>
        <w:t xml:space="preserve">A visitor lands on clinovyr.com (marketing site) and clicks into the free discovery survey.</w:t>
      </w:r>
    </w:p>
    <w:p>
      <w:pPr>
        <w:pStyle w:val="ListParagraph"/>
        <w:numPr>
          <w:ilvl w:val="0"/>
          <w:numId w:val="2"/>
        </w:numPr>
        <w:spacing w:after="80"/>
      </w:pPr>
      <w:r>
        <w:rPr>
          <w:sz w:val="22"/>
          <w:szCs w:val="22"/>
        </w:rPr>
        <w:t xml:space="preserve">They create an account (email + password, with email verification) and complete a short onboarding: company name, industry, size, revenue band, city, plus goals and urgency. Goals drive an instant package recommendation.</w:t>
      </w:r>
    </w:p>
    <w:p>
      <w:pPr>
        <w:pStyle w:val="ListParagraph"/>
        <w:numPr>
          <w:ilvl w:val="0"/>
          <w:numId w:val="2"/>
        </w:numPr>
        <w:spacing w:after="80"/>
      </w:pPr>
      <w:r>
        <w:rPr>
          <w:sz w:val="22"/>
          <w:szCs w:val="22"/>
        </w:rPr>
        <w:t xml:space="preserve">They complete the 6-step AI-readiness survey, including an industry-specific “Your Numbers” step (e.g., appointments per week for medical, billable rate for legal). Numbers are optional — the system falls back to size-based defaults.</w:t>
      </w:r>
    </w:p>
    <w:p>
      <w:pPr>
        <w:pStyle w:val="ListParagraph"/>
        <w:numPr>
          <w:ilvl w:val="0"/>
          <w:numId w:val="2"/>
        </w:numPr>
        <w:spacing w:after="80"/>
      </w:pPr>
      <w:r>
        <w:rPr>
          <w:sz w:val="22"/>
          <w:szCs w:val="22"/>
        </w:rPr>
        <w:t xml:space="preserve">On submit, the scoring engine computes an overall score (0–100), a tier, top opportunities, an estimated annual ROI range, and a recommended package. Claude writes a personalized executive narrative; if Claude is unavailable, a quality fallback narrative is used. Everything is stored with the survey.</w:t>
      </w:r>
    </w:p>
    <w:p>
      <w:pPr>
        <w:pStyle w:val="ListParagraph"/>
        <w:numPr>
          <w:ilvl w:val="0"/>
          <w:numId w:val="2"/>
        </w:numPr>
        <w:spacing w:after="80"/>
      </w:pPr>
      <w:r>
        <w:rPr>
          <w:sz w:val="22"/>
          <w:szCs w:val="22"/>
        </w:rPr>
        <w:t xml:space="preserve">The results page shows the score, opportunities, ROI estimate, and recommended package with a checkout button. Stripe Checkout handles payment.</w:t>
      </w:r>
    </w:p>
    <w:p>
      <w:pPr>
        <w:pStyle w:val="ListParagraph"/>
        <w:numPr>
          <w:ilvl w:val="0"/>
          <w:numId w:val="2"/>
        </w:numPr>
        <w:spacing w:after="80"/>
      </w:pPr>
      <w:r>
        <w:rPr>
          <w:sz w:val="22"/>
          <w:szCs w:val="22"/>
        </w:rPr>
        <w:t xml:space="preserve">Stripe calls the webhook; the order is marked paid, a confirmation email goes out, and generation is dispatched to a dedicated Cloudflare Worker.</w:t>
      </w:r>
    </w:p>
    <w:p>
      <w:pPr>
        <w:pStyle w:val="ListParagraph"/>
        <w:numPr>
          <w:ilvl w:val="0"/>
          <w:numId w:val="2"/>
        </w:numPr>
        <w:spacing w:after="80"/>
      </w:pPr>
      <w:r>
        <w:rPr>
          <w:sz w:val="22"/>
          <w:szCs w:val="22"/>
        </w:rPr>
        <w:t xml:space="preserve">The worker generates each deliverable for the buyer's industry and package — calling Claude for personalized content (with automatic retries, then rich fallbacks), rendering branded PDFs / Excel files / ZIP blueprint packs — and uploads them to cloud storage.</w:t>
      </w:r>
    </w:p>
    <w:p>
      <w:pPr>
        <w:pStyle w:val="ListParagraph"/>
        <w:numPr>
          <w:ilvl w:val="0"/>
          <w:numId w:val="2"/>
        </w:numPr>
        <w:spacing w:after="80"/>
      </w:pPr>
      <w:r>
        <w:rPr>
          <w:sz w:val="22"/>
          <w:szCs w:val="22"/>
        </w:rPr>
        <w:t xml:space="preserve">The order flips to delivered, the customer gets a delivery email, and the files appear in their portal with download tracking. The admin panel shows the order, with alerts if anything fell back or failed.</w:t>
      </w:r>
    </w:p>
    <w:p>
      <w:pPr>
        <w:spacing w:after="120"/>
      </w:pPr>
    </w:p>
    <w:p>
      <w:pPr>
        <w:pStyle w:val="Heading2"/>
      </w:pPr>
      <w:r>
        <w:t xml:space="preserve">3.1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Component</w:t>
            </w:r>
          </w:p>
        </w:tc>
        <w:tc>
          <w:tcPr>
            <w:tcW w:type="dxa" w:w="66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Role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clinovyr-site (Cloudflare Worker)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Next.js 15 app: marketing site, auth, onboarding, survey, results, checkout, portal, admin, and all APIs. Deploys automatically on git push to main.</w:t>
            </w:r>
          </w:p>
        </w:tc>
      </w:tr>
      <w:tr>
        <w:tc>
          <w:tcPr>
            <w:tcW w:type="dxa" w:w="27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clinovyr-deliverables (Cloudflare Worker)</w:t>
            </w:r>
          </w:p>
        </w:tc>
        <w:tc>
          <w:tcPr>
            <w:tcW w:type="dxa" w:w="66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Standalone document-generation engine. Receives authenticated generation requests from the webhook; runs generators; uploads files; updates the order; sends delivery email. Deployed manually (npm run deploy:deliverables).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PostgreSQL (Neon)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Users, companies, surveys, orders, download logs (Prisma ORM).</w:t>
            </w:r>
          </w:p>
        </w:tc>
      </w:tr>
      <w:tr>
        <w:tc>
          <w:tcPr>
            <w:tcW w:type="dxa" w:w="27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Stripe</w:t>
            </w:r>
          </w:p>
        </w:tc>
        <w:tc>
          <w:tcPr>
            <w:tcW w:type="dxa" w:w="66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Checkout sessions + webhook (checkout.session.completed, payment_intent.payment_failed).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Anthropic Claude (claude-sonnet-4-6)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Personalized narrative and deliverable content. Retries transient failures; falls back to curated content rather than failing.</w:t>
            </w:r>
          </w:p>
        </w:tc>
      </w:tr>
      <w:tr>
        <w:tc>
          <w:tcPr>
            <w:tcW w:type="dxa" w:w="27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Vercel Blob</w:t>
            </w:r>
          </w:p>
        </w:tc>
        <w:tc>
          <w:tcPr>
            <w:tcW w:type="dxa" w:w="66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Deliverable file storage (fails closed in production if unconfigured).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Resend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All email: verification, password reset, payment confirmation, delivery, admin notifications and partial-delivery alerts.</w:t>
            </w:r>
          </w:p>
        </w:tc>
      </w:tr>
    </w:tbl>
    <w:p>
      <w:pPr>
        <w:pStyle w:val="Heading1"/>
        <w:pageBreakBefore/>
      </w:pPr>
      <w:r>
        <w:t xml:space="preserve">4. Module-by-Module Guide</w:t>
      </w:r>
    </w:p>
    <w:p>
      <w:pPr>
        <w:pStyle w:val="Heading2"/>
      </w:pPr>
      <w:r>
        <w:t xml:space="preserve">4.1 Marketing Site</w:t>
      </w:r>
    </w:p>
    <w:p>
      <w:pPr>
        <w:spacing w:after="140"/>
      </w:pPr>
      <w:r>
        <w:rPr>
          <w:sz w:val="22"/>
          <w:szCs w:val="22"/>
        </w:rPr>
        <w:t xml:space="preserve">Single-page marketing site with seven sections: Hero (free survey CTA + Calendly booking), Problem/About (credibility stats), Services (free survey, three packages, included setup help, playbooks), Verticals (six industries), Process (survey → deliverables in minutes → setup help), Pricing (three packages with consultant price anchoring), and Contact. SEO is handled with full metadata, OpenGraph PNG, sitemap, and robots.</w:t>
      </w:r>
    </w:p>
    <w:p>
      <w:pPr>
        <w:pStyle w:val="Heading2"/>
      </w:pPr>
      <w:r>
        <w:t xml:space="preserve">4.2 Auth &amp; Onboarding</w:t>
      </w:r>
    </w:p>
    <w:p>
      <w:pPr>
        <w:spacing w:after="140"/>
      </w:pPr>
      <w:r>
        <w:rPr>
          <w:sz w:val="22"/>
          <w:szCs w:val="22"/>
        </w:rPr>
        <w:t xml:space="preserve">NextAuth v5 with credentials login, email verification, and password reset (all via Resend). Onboarding captures the company profile and goals; a recommendation module maps goals to one of the three real packages (e.g., “run AI for me ongoing” recommends the Sprint, which includes implementation working sessions).</w:t>
      </w:r>
    </w:p>
    <w:p>
      <w:pPr>
        <w:pStyle w:val="Heading2"/>
      </w:pPr>
      <w:r>
        <w:t xml:space="preserve">4.3 Discovery Survey</w:t>
      </w:r>
    </w:p>
    <w:p>
      <w:pPr>
        <w:spacing w:after="140"/>
      </w:pPr>
      <w:r>
        <w:rPr>
          <w:sz w:val="22"/>
          <w:szCs w:val="22"/>
        </w:rPr>
        <w:t xml:space="preserve">Six steps covering current tools and tech stack, process maturity, data readiness, team adoption and comfort, time drains, and the industry-specific “Your Numbers” step. Progress saves between steps so users can resume. Validation runs server-side on completion.</w:t>
      </w:r>
    </w:p>
    <w:p>
      <w:pPr>
        <w:pStyle w:val="Heading2"/>
      </w:pPr>
      <w:r>
        <w:t xml:space="preserve">4.4 Scoring Engine</w:t>
      </w:r>
    </w:p>
    <w:p>
      <w:pPr>
        <w:spacing w:after="140"/>
      </w:pPr>
      <w:r>
        <w:rPr>
          <w:sz w:val="22"/>
          <w:szCs w:val="22"/>
        </w:rPr>
        <w:t xml:space="preserve">Computes weighted category scores across five dimensions — tech stack, process maturity, data readiness, adoption readiness, and ROI potential — producing an overall 0–100 score, a tier, ranked opportunities, an estimated annual ROI, and a package recommendation. The stored survey is the single source of truth: every later deliverable reads the same score, tier, ROI and opportunities the customer saw on their results page.</w:t>
      </w:r>
    </w:p>
    <w:p>
      <w:pPr>
        <w:pStyle w:val="Heading2"/>
      </w:pPr>
      <w:r>
        <w:t xml:space="preserve">4.5 Checkout &amp; Payments</w:t>
      </w:r>
    </w:p>
    <w:p>
      <w:pPr>
        <w:spacing w:after="140"/>
      </w:pPr>
      <w:r>
        <w:rPr>
          <w:sz w:val="22"/>
          <w:szCs w:val="22"/>
        </w:rPr>
        <w:t xml:space="preserve">Stripe Checkout in payment mode, with the package resolved from the survey recommendation. Orders use a strict lifecycle (pending → paid → delivered, with refunded handled by admin) and the webhook is idempotent — replays cannot double-deliver or double-charge. Price IDs can come from environment variables or fall back to inline price data.</w:t>
      </w:r>
    </w:p>
    <w:p>
      <w:pPr>
        <w:pStyle w:val="Heading2"/>
      </w:pPr>
      <w:r>
        <w:t xml:space="preserve">4.6 Deliverables Engine</w:t>
      </w:r>
    </w:p>
    <w:p>
      <w:pPr>
        <w:spacing w:after="140"/>
      </w:pPr>
      <w:r>
        <w:rPr>
          <w:sz w:val="22"/>
          <w:szCs w:val="22"/>
        </w:rPr>
        <w:t xml:space="preserve">The heart of the product. A registry of generators maps deliverable keys to functions; an industry router substitutes industry-specific versions where they exist. Each generator builds personalized content from the survey (with Claude, retried up to 3 times on transient errors, then curated fallbacks), renders a branded artifact, and uploads it. Per-file failures never abort the batch; partial or failed deliveries trigger an internal alert email so the admin can redeliver. Fallback usage is recorded per file and surfaced as an admin badge.</w:t>
      </w:r>
    </w:p>
    <w:p>
      <w:pPr>
        <w:pStyle w:val="Heading3"/>
      </w:pPr>
      <w:r>
        <w:t xml:space="preserve">Deliverables by industry (5 each, plus generic versions of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Industry</w:t>
            </w:r>
          </w:p>
        </w:tc>
        <w:tc>
          <w:tcPr>
            <w:tcW w:type="dxa" w:w="71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Industry-specific deliverables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Medical &amp; Dental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AI Readiness Report (HIPAA-aware) · Make.com Blueprint Pack (ZIP) · HIPAA Tool Guide · ROI Calculator (live formulas) · 90-Day Roadmap</w:t>
            </w:r>
          </w:p>
        </w:tc>
      </w:tr>
      <w:tr>
        <w:tc>
          <w:tcPr>
            <w:tcW w:type="dxa" w:w="22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Real Estate</w:t>
            </w:r>
          </w:p>
        </w:tc>
        <w:tc>
          <w:tcPr>
            <w:tcW w:type="dxa" w:w="71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AI Readiness Report · Automation Blueprints · CRM Setup Guide · Lead-Qualifier Prompt Pack · ROI Calculator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Legal &amp; Financial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AI Readiness Report · Client Intake System · Compliance Checklist · Prompt Library · ROI Calculator</w:t>
            </w:r>
          </w:p>
        </w:tc>
      </w:tr>
      <w:tr>
        <w:tc>
          <w:tcPr>
            <w:tcW w:type="dxa" w:w="22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Construction</w:t>
            </w:r>
          </w:p>
        </w:tc>
        <w:tc>
          <w:tcPr>
            <w:tcW w:type="dxa" w:w="71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AI Readiness Report · Automation Blueprints · Bid Assistant Guide · Subcontractor Communication Kit · ROI Calculator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Wellness &amp; Med Spa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AI Readiness Report · Automation Blueprints · Retention Playbook · Social Content Pack · ROI Calculator</w:t>
            </w:r>
          </w:p>
        </w:tc>
      </w:tr>
      <w:tr>
        <w:tc>
          <w:tcPr>
            <w:tcW w:type="dxa" w:w="22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Retail &amp; Hospitality</w:t>
            </w:r>
          </w:p>
        </w:tc>
        <w:tc>
          <w:tcPr>
            <w:tcW w:type="dxa" w:w="71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AI Readiness Report · Customer Win-Back Kit · Review Management Kit · Social Content Pack · ROI Calculator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Generic (any industry)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Opportunity Brief · Implementation Checklist · Tool Recommendations · Assessment Report · Opportunity Roadmap · Tool Stack Guide · Executive Briefing · Automation Blueprints · CRM Setup Guide · Staff Training Guide · ROI Calculator</w:t>
            </w:r>
          </w:p>
        </w:tc>
      </w:tr>
    </w:tbl>
    <w:p>
      <w:pPr>
        <w:pStyle w:val="Heading2"/>
      </w:pPr>
      <w:r>
        <w:t xml:space="preserve">4.7 Client Portal</w:t>
      </w:r>
    </w:p>
    <w:p>
      <w:pPr>
        <w:spacing w:after="140"/>
      </w:pPr>
      <w:r>
        <w:rPr>
          <w:sz w:val="22"/>
          <w:szCs w:val="22"/>
        </w:rPr>
        <w:t xml:space="preserve">Authenticated dashboard with a progress stepper (survey → results → purchase → deliverables), the results page, a deliverables page with correct file-type icons and per-file downloads (each download is logged), payment-success handling with live generation progress, and account settings.</w:t>
      </w:r>
    </w:p>
    <w:p>
      <w:pPr>
        <w:pStyle w:val="Heading2"/>
      </w:pPr>
      <w:r>
        <w:t xml:space="preserve">4.8 Admin Panel</w:t>
      </w:r>
    </w:p>
    <w:p>
      <w:pPr>
        <w:spacing w:after="140"/>
      </w:pPr>
      <w:r>
        <w:rPr>
          <w:sz w:val="22"/>
          <w:szCs w:val="22"/>
        </w:rPr>
        <w:t xml:space="preserve">Restricted by admin email allow-list. Shows clients, orders, and deliverables with status timelines; flags any file that shipped with fallback content; and provides redeliver, mark-delivered, refund, and customer-nudge actions. Combined with the new partial-delivery alert emails, no failed order can go unnoticed.</w:t>
      </w:r>
    </w:p>
    <w:p>
      <w:pPr>
        <w:pStyle w:val="Heading2"/>
      </w:pPr>
      <w:r>
        <w:t xml:space="preserve">4.9 Email System</w:t>
      </w:r>
    </w:p>
    <w:p>
      <w:pPr>
        <w:spacing w:after="140"/>
      </w:pPr>
      <w:r>
        <w:rPr>
          <w:sz w:val="22"/>
          <w:szCs w:val="22"/>
        </w:rPr>
        <w:t xml:space="preserve">Branded transactional emails via Resend: account verification, password reset, assessment notification (internal), payment confirmation (customer + internal copy), deliverables-ready, admin nudges, and the internal PARTIAL/FAILED delivery alerts.</w:t>
      </w:r>
    </w:p>
    <w:p>
      <w:pPr>
        <w:pStyle w:val="Heading2"/>
      </w:pPr>
      <w:r>
        <w:t xml:space="preserve">4.10 Operations &amp; Deployment</w:t>
      </w:r>
    </w:p>
    <w:p>
      <w:pPr>
        <w:pStyle w:val="ListParagraph"/>
        <w:numPr>
          <w:ilvl w:val="0"/>
          <w:numId w:val="3"/>
        </w:numPr>
        <w:spacing w:after="80"/>
      </w:pPr>
      <w:r>
        <w:rPr>
          <w:sz w:val="22"/>
          <w:szCs w:val="22"/>
        </w:rPr>
        <w:t xml:space="preserve">Site deploys on git push to main (Cloudflare build). The deliverables worker deploys manually with npm run deploy:deliverables — required whenever generator code changes.</w:t>
      </w:r>
    </w:p>
    <w:p>
      <w:pPr>
        <w:pStyle w:val="ListParagraph"/>
        <w:numPr>
          <w:ilvl w:val="0"/>
          <w:numId w:val="3"/>
        </w:numPr>
        <w:spacing w:after="80"/>
      </w:pPr>
      <w:r>
        <w:rPr>
          <w:sz w:val="22"/>
          <w:szCs w:val="22"/>
        </w:rPr>
        <w:t xml:space="preserve">Schema changes use npx prisma db push with the direct (non-pooled) Neon connection string; the running app uses the pooled string.</w:t>
      </w:r>
    </w:p>
    <w:p>
      <w:pPr>
        <w:pStyle w:val="ListParagraph"/>
        <w:numPr>
          <w:ilvl w:val="0"/>
          <w:numId w:val="3"/>
        </w:numPr>
        <w:spacing w:after="80"/>
      </w:pPr>
      <w:r>
        <w:rPr>
          <w:sz w:val="22"/>
          <w:szCs w:val="22"/>
        </w:rPr>
        <w:t xml:space="preserve">Helper scripts: scripts/e2e-purchase.ts drives a full survey → signed webhook → generation → verification pass; scripts/generate-samples.ts regenerates the full product × industry sample matrix.</w:t>
      </w:r>
    </w:p>
    <w:p>
      <w:pPr>
        <w:pStyle w:val="ListParagraph"/>
        <w:numPr>
          <w:ilvl w:val="0"/>
          <w:numId w:val="3"/>
        </w:numPr>
        <w:spacing w:after="80"/>
      </w:pPr>
      <w:r>
        <w:rPr>
          <w:sz w:val="22"/>
          <w:szCs w:val="22"/>
        </w:rPr>
        <w:t xml:space="preserve">Success criteria for a healthy order: status reaches delivered, files download, the delivery email arrives, and no Fallback badge appears in admin.</w:t>
      </w:r>
    </w:p>
    <w:p>
      <w:pPr>
        <w:pStyle w:val="Heading1"/>
        <w:pageBreakBefore/>
      </w:pPr>
      <w:r>
        <w:t xml:space="preserve">5. Business Model — How We Make Money</w:t>
      </w:r>
    </w:p>
    <w:p>
      <w:pPr>
        <w:pStyle w:val="Heading2"/>
      </w:pPr>
      <w:r>
        <w:t xml:space="preserve">5.1 Unit Economics</w:t>
      </w:r>
    </w:p>
    <w:p>
      <w:pPr>
        <w:spacing w:after="140"/>
      </w:pPr>
      <w:r>
        <w:rPr>
          <w:sz w:val="22"/>
          <w:szCs w:val="22"/>
        </w:rPr>
        <w:t xml:space="preserve">Marginal cost per sale is dominated by payment processing and the included human time; the AI and infrastructure cost is a rounding error. Estimated per-package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900"/>
        <w:gridCol w:w="1960"/>
      </w:tblGrid>
      <w:tr>
        <w:tc>
          <w:tcPr>
            <w:tcW w:type="dxa" w:w="24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Package</w:t>
            </w:r>
          </w:p>
        </w:tc>
        <w:tc>
          <w:tcPr>
            <w:tcW w:type="dxa" w:w="14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Price</w:t>
            </w:r>
          </w:p>
        </w:tc>
        <w:tc>
          <w:tcPr>
            <w:tcW w:type="dxa" w:w="17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Hard costs*</w:t>
            </w:r>
          </w:p>
        </w:tc>
        <w:tc>
          <w:tcPr>
            <w:tcW w:type="dxa" w:w="19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Human time</w:t>
            </w:r>
          </w:p>
        </w:tc>
        <w:tc>
          <w:tcPr>
            <w:tcW w:type="dxa" w:w="19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Margin after labor**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Opportunity Audit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$1,500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~$48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 hr (setup call)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~$1,330 (89%)</w:t>
            </w:r>
          </w:p>
        </w:tc>
      </w:tr>
      <w:tr>
        <w:tc>
          <w:tcPr>
            <w:tcW w:type="dxa" w:w="24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Readiness Assessment</w:t>
            </w:r>
          </w:p>
        </w:tc>
        <w:tc>
          <w:tcPr>
            <w:tcW w:type="dxa" w:w="14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$5,000</w:t>
            </w:r>
          </w:p>
        </w:tc>
        <w:tc>
          <w:tcPr>
            <w:tcW w:type="dxa" w:w="17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~$150</w:t>
            </w:r>
          </w:p>
        </w:tc>
        <w:tc>
          <w:tcPr>
            <w:tcW w:type="dxa" w:w="19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~2–3 hrs (sessions)</w:t>
            </w:r>
          </w:p>
        </w:tc>
        <w:tc>
          <w:tcPr>
            <w:tcW w:type="dxa" w:w="19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~$4,480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Automation Sprint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~$355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~8–12 hrs (working sessions)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~$10,150 (85%)</w:t>
            </w:r>
          </w:p>
        </w:tc>
      </w:tr>
    </w:tbl>
    <w:p>
      <w:pPr>
        <w:spacing w:after="140" w:before="60"/>
      </w:pPr>
      <w:r>
        <w:rPr>
          <w:i/>
          <w:iCs/>
          <w:color w:val="7A7468"/>
          <w:sz w:val="18"/>
          <w:szCs w:val="18"/>
        </w:rPr>
        <w:t xml:space="preserve">*Stripe 2.9% + $0.30, plus roughly $2–5 of Claude API and storage per order. **Labor valued at $125/hr; margins stay above 85% even at consultant-grade labor rates.</w:t>
      </w:r>
    </w:p>
    <w:p>
      <w:pPr>
        <w:spacing w:after="140"/>
      </w:pPr>
      <w:r>
        <w:rPr>
          <w:sz w:val="22"/>
          <w:szCs w:val="22"/>
        </w:rPr>
        <w:t xml:space="preserve">Implication: unlike a consultancy, revenue is not capped by hours. The only meaningful scaling constraint is the human setup time in each package — which is deliberately time-boxed.</w:t>
      </w:r>
    </w:p>
    <w:p>
      <w:pPr>
        <w:pStyle w:val="Heading2"/>
      </w:pPr>
      <w:r>
        <w:t xml:space="preserve">5.2 Is the Pricing in Line with the Market? (June 2026)</w:t>
      </w:r>
    </w:p>
    <w:p>
      <w:pPr>
        <w:spacing w:after="140"/>
      </w:pPr>
      <w:r>
        <w:rPr>
          <w:sz w:val="22"/>
          <w:szCs w:val="22"/>
        </w:rPr>
        <w:t xml:space="preserve">Market research on 2026 pricing for comparable offers:</w:t>
      </w:r>
    </w:p>
    <w:p>
      <w:pPr>
        <w:pStyle w:val="ListParagraph"/>
        <w:numPr>
          <w:ilvl w:val="0"/>
          <w:numId w:val="3"/>
        </w:numPr>
        <w:spacing w:after="80"/>
      </w:pPr>
      <w:r>
        <w:rPr>
          <w:sz w:val="22"/>
          <w:szCs w:val="22"/>
        </w:rPr>
        <w:t xml:space="preserve">SMB AI readiness assessments are quoted at $2,000–$8,000 fixed-fee, typically over 2–3 weeks; mid-market engagements run $5,000–$15,000. Fixed-fee productized assessments are now the norm, and the standard deliverable set (scorecard, stack audit, 90-day roadmap, walkthrough) matches what Clinovyr generates.</w:t>
      </w:r>
    </w:p>
    <w:p>
      <w:pPr>
        <w:pStyle w:val="ListParagraph"/>
        <w:numPr>
          <w:ilvl w:val="0"/>
          <w:numId w:val="3"/>
        </w:numPr>
        <w:spacing w:after="80"/>
      </w:pPr>
      <w:r>
        <w:rPr>
          <w:sz w:val="22"/>
          <w:szCs w:val="22"/>
        </w:rPr>
        <w:t xml:space="preserve">AI consulting rates run $150–$500/hour, which makes any human-delivered equivalent of Clinovyr's bundles substantially more expensive.</w:t>
      </w:r>
    </w:p>
    <w:p>
      <w:pPr>
        <w:spacing w:after="140"/>
      </w:pPr>
      <w:r>
        <w:rPr>
          <w:sz w:val="22"/>
          <w:szCs w:val="22"/>
        </w:rPr>
        <w:t xml:space="preserve">Verdict by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Package</w:t>
            </w:r>
          </w:p>
        </w:tc>
        <w:tc>
          <w:tcPr>
            <w:tcW w:type="dxa" w:w="15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Verdict</w:t>
            </w:r>
          </w:p>
        </w:tc>
        <w:tc>
          <w:tcPr>
            <w:tcW w:type="dxa" w:w="54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Reasoning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Audit — $1,500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In line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Below the $2,000 floor of comparable assessments; appropriate for the entry rung. Sells on speed and specificity.</w:t>
            </w:r>
          </w:p>
        </w:tc>
      </w:tr>
      <w:tr>
        <w:tc>
          <w:tcPr>
            <w:tcW w:type="dxa" w:w="24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Assessment — $5,000</w:t>
            </w:r>
          </w:p>
        </w:tc>
        <w:tc>
          <w:tcPr>
            <w:tcW w:type="dxa" w:w="15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In line</w:t>
            </w:r>
          </w:p>
        </w:tc>
        <w:tc>
          <w:tcPr>
            <w:tcW w:type="dxa" w:w="54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Mid-range of the $2,000–$8,000 SMB band while delivering faster (minutes vs. weeks) with an executive briefing included.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Sprint — $12,000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Conditionally in line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Justified only because it includes working sessions where Clinovyr implements the first automations with the buyer. Documents alone would not support $12,000 — the done-with-you implementation must stay central to the pitch (now explicit in all copy).</w:t>
            </w:r>
          </w:p>
        </w:tc>
      </w:tr>
    </w:tbl>
    <w:p>
      <w:pPr>
        <w:spacing w:after="120"/>
      </w:pPr>
    </w:p>
    <w:p>
      <w:pPr>
        <w:spacing w:after="140"/>
      </w:pPr>
      <w:r>
        <w:rPr>
          <w:sz w:val="22"/>
          <w:szCs w:val="22"/>
        </w:rPr>
        <w:t xml:space="preserve">Changes already implemented from this review: Sprint copy across the site, portal, and Stripe now sells the implementation working sessions explicitly, and the pricing section anchors against the $5,000–$15,000 consultant alternative.</w:t>
      </w:r>
    </w:p>
    <w:p>
      <w:pPr>
        <w:pStyle w:val="Heading2"/>
      </w:pPr>
      <w:r>
        <w:t xml:space="preserve">5.3 Selling More: Conversion Levers</w:t>
      </w:r>
    </w:p>
    <w:p>
      <w:pPr>
        <w:pStyle w:val="ListParagraph"/>
        <w:numPr>
          <w:ilvl w:val="0"/>
          <w:numId w:val="3"/>
        </w:numPr>
        <w:spacing w:after="80"/>
      </w:pPr>
      <w:r>
        <w:rPr>
          <w:b/>
          <w:bCs/>
          <w:sz w:val="22"/>
          <w:szCs w:val="22"/>
        </w:rPr>
        <w:t xml:space="preserve">Survey-first funnel — </w:t>
      </w:r>
      <w:r>
        <w:rPr>
          <w:sz w:val="22"/>
          <w:szCs w:val="22"/>
        </w:rPr>
        <w:t xml:space="preserve">The free survey is the engine. Every dollar of marketing should drive survey completions, not contact-form fills — completers have invested 10 minutes and received a personalized score, which is the strongest possible setup for a purchase.</w:t>
      </w:r>
    </w:p>
    <w:p>
      <w:pPr>
        <w:pStyle w:val="ListParagraph"/>
        <w:numPr>
          <w:ilvl w:val="0"/>
          <w:numId w:val="3"/>
        </w:numPr>
        <w:spacing w:after="80"/>
      </w:pPr>
      <w:r>
        <w:rPr>
          <w:b/>
          <w:bCs/>
          <w:sz w:val="22"/>
          <w:szCs w:val="22"/>
        </w:rPr>
        <w:t xml:space="preserve">De-risk the first purchase — </w:t>
      </w:r>
      <w:r>
        <w:rPr>
          <w:sz w:val="22"/>
          <w:szCs w:val="22"/>
        </w:rPr>
        <w:t xml:space="preserve">Offer a 14-day money-back guarantee on the Audit. At ~$50 hard cost, refund risk is trivial and it removes the last objection at the entry rung.</w:t>
      </w:r>
    </w:p>
    <w:p>
      <w:pPr>
        <w:pStyle w:val="ListParagraph"/>
        <w:numPr>
          <w:ilvl w:val="0"/>
          <w:numId w:val="3"/>
        </w:numPr>
        <w:spacing w:after="80"/>
      </w:pPr>
      <w:r>
        <w:rPr>
          <w:b/>
          <w:bCs/>
          <w:sz w:val="22"/>
          <w:szCs w:val="22"/>
        </w:rPr>
        <w:t xml:space="preserve">Upgrade credit — </w:t>
      </w:r>
      <w:r>
        <w:rPr>
          <w:sz w:val="22"/>
          <w:szCs w:val="22"/>
        </w:rPr>
        <w:t xml:space="preserve">Credit the full $1,500 Audit price toward an Assessment or Sprint upgrade within 60 days. This turns the Audit into a paid trial and lifts average order value.</w:t>
      </w:r>
    </w:p>
    <w:p>
      <w:pPr>
        <w:pStyle w:val="ListParagraph"/>
        <w:numPr>
          <w:ilvl w:val="0"/>
          <w:numId w:val="3"/>
        </w:numPr>
        <w:spacing w:after="80"/>
      </w:pPr>
      <w:r>
        <w:rPr>
          <w:b/>
          <w:bCs/>
          <w:sz w:val="22"/>
          <w:szCs w:val="22"/>
        </w:rPr>
        <w:t xml:space="preserve">Results-page selling — </w:t>
      </w:r>
      <w:r>
        <w:rPr>
          <w:sz w:val="22"/>
          <w:szCs w:val="22"/>
        </w:rPr>
        <w:t xml:space="preserve">The results page already recommends a package; add urgency honestly (e.g., score-linked framing: “businesses at your readiness tier typically capture $X of the estimated ROI within 90 days”).</w:t>
      </w:r>
    </w:p>
    <w:p>
      <w:pPr>
        <w:pStyle w:val="ListParagraph"/>
        <w:numPr>
          <w:ilvl w:val="0"/>
          <w:numId w:val="3"/>
        </w:numPr>
        <w:spacing w:after="80"/>
      </w:pPr>
      <w:r>
        <w:rPr>
          <w:b/>
          <w:bCs/>
          <w:sz w:val="22"/>
          <w:szCs w:val="22"/>
        </w:rPr>
        <w:t xml:space="preserve">Low-friction entry — </w:t>
      </w:r>
      <w:r>
        <w:rPr>
          <w:sz w:val="22"/>
          <w:szCs w:val="22"/>
        </w:rPr>
        <w:t xml:space="preserve">Position the $497 Industry Playbooks (buy.clinovyr.com) as the impulse-priced rung below the Audit, and cross-promote it to survey completers who don't buy within 14 days.</w:t>
      </w:r>
    </w:p>
    <w:p>
      <w:pPr>
        <w:pStyle w:val="Heading2"/>
      </w:pPr>
      <w:r>
        <w:t xml:space="preserve">5.4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60"/>
        <w:gridCol w:w="2060"/>
        <w:gridCol w:w="2140"/>
      </w:tblGrid>
      <w:tr>
        <w:tc>
          <w:tcPr>
            <w:tcW w:type="dxa" w:w="31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Monthly sales mix</w:t>
            </w:r>
          </w:p>
        </w:tc>
        <w:tc>
          <w:tcPr>
            <w:tcW w:type="dxa" w:w="20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Conservative</w:t>
            </w:r>
          </w:p>
        </w:tc>
        <w:tc>
          <w:tcPr>
            <w:tcW w:type="dxa" w:w="20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Base</w:t>
            </w:r>
          </w:p>
        </w:tc>
        <w:tc>
          <w:tcPr>
            <w:tcW w:type="dxa" w:w="214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Stretch</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Audits ($1,500)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4</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8</w:t>
            </w:r>
          </w:p>
        </w:tc>
      </w:tr>
      <w:tr>
        <w:tc>
          <w:tcPr>
            <w:tcW w:type="dxa" w:w="31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Assessments ($5,000)</w:t>
            </w:r>
          </w:p>
        </w:tc>
        <w:tc>
          <w:tcPr>
            <w:tcW w:type="dxa" w:w="2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1</w:t>
            </w:r>
          </w:p>
        </w:tc>
        <w:tc>
          <w:tcPr>
            <w:tcW w:type="dxa" w:w="2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2</w:t>
            </w:r>
          </w:p>
        </w:tc>
        <w:tc>
          <w:tcPr>
            <w:tcW w:type="dxa" w:w="214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4</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Sprints ($12,000)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2</w:t>
            </w:r>
          </w:p>
        </w:tc>
      </w:tr>
      <w:tr>
        <w:tc>
          <w:tcPr>
            <w:tcW w:type="dxa" w:w="31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Monthly revenue</w:t>
            </w:r>
          </w:p>
        </w:tc>
        <w:tc>
          <w:tcPr>
            <w:tcW w:type="dxa" w:w="2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$8,000</w:t>
            </w:r>
          </w:p>
        </w:tc>
        <w:tc>
          <w:tcPr>
            <w:tcW w:type="dxa" w:w="2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$28,000</w:t>
            </w:r>
          </w:p>
        </w:tc>
        <w:tc>
          <w:tcPr>
            <w:tcW w:type="dxa" w:w="214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$56,000</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Annualized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$96,000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$336,000</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$672,000</w:t>
            </w:r>
          </w:p>
        </w:tc>
      </w:tr>
    </w:tbl>
    <w:p>
      <w:pPr>
        <w:spacing w:after="120"/>
      </w:pPr>
    </w:p>
    <w:p>
      <w:pPr>
        <w:spacing w:after="140"/>
      </w:pPr>
      <w:r>
        <w:rPr>
          <w:sz w:val="22"/>
          <w:szCs w:val="22"/>
        </w:rPr>
        <w:t xml:space="preserve">Even the conservative case is meaningful for a solo operator at 85%+ margins; the base case requires roughly 7 sales per month from a county with tens of thousands of small businesses.</w:t>
      </w:r>
    </w:p>
    <w:p>
      <w:pPr>
        <w:pStyle w:val="Heading2"/>
      </w:pPr>
      <w:r>
        <w:t xml:space="preserve">5.5 Expansion Paths (after launch traction)</w:t>
      </w:r>
    </w:p>
    <w:p>
      <w:pPr>
        <w:pStyle w:val="ListParagraph"/>
        <w:numPr>
          <w:ilvl w:val="0"/>
          <w:numId w:val="3"/>
        </w:numPr>
        <w:spacing w:after="80"/>
      </w:pPr>
      <w:r>
        <w:rPr>
          <w:b/>
          <w:bCs/>
          <w:sz w:val="22"/>
          <w:szCs w:val="22"/>
        </w:rPr>
        <w:t xml:space="preserve">Productized refresh — </w:t>
      </w:r>
      <w:r>
        <w:rPr>
          <w:sz w:val="22"/>
          <w:szCs w:val="22"/>
        </w:rPr>
        <w:t xml:space="preserve">Quarterly “AI tune-up” subscription: re-run the survey, regenerate refreshed deliverables, one optimization session ($250–$500/quarter). Recurring revenue without becoming a retainer consultancy.</w:t>
      </w:r>
    </w:p>
    <w:p>
      <w:pPr>
        <w:pStyle w:val="ListParagraph"/>
        <w:numPr>
          <w:ilvl w:val="0"/>
          <w:numId w:val="3"/>
        </w:numPr>
        <w:spacing w:after="80"/>
      </w:pPr>
      <w:r>
        <w:rPr>
          <w:b/>
          <w:bCs/>
          <w:sz w:val="22"/>
          <w:szCs w:val="22"/>
        </w:rPr>
        <w:t xml:space="preserve">White-label licensing — </w:t>
      </w:r>
      <w:r>
        <w:rPr>
          <w:sz w:val="22"/>
          <w:szCs w:val="22"/>
        </w:rPr>
        <w:t xml:space="preserve">License the engine to consultants in other regions — they sell under their brand, Clinovyr takes a per-report or revenue-share fee. The industry router and generic track make this technically straightforward.</w:t>
      </w:r>
    </w:p>
    <w:p>
      <w:pPr>
        <w:pStyle w:val="ListParagraph"/>
        <w:numPr>
          <w:ilvl w:val="0"/>
          <w:numId w:val="3"/>
        </w:numPr>
        <w:spacing w:after="80"/>
      </w:pPr>
      <w:r>
        <w:rPr>
          <w:b/>
          <w:bCs/>
          <w:sz w:val="22"/>
          <w:szCs w:val="22"/>
        </w:rPr>
        <w:t xml:space="preserve">Geographic replication — </w:t>
      </w:r>
      <w:r>
        <w:rPr>
          <w:sz w:val="22"/>
          <w:szCs w:val="22"/>
        </w:rPr>
        <w:t xml:space="preserve">The system has no geographic dependency; “Placer County” is positioning. Clone the playbook county by county, or launch vertical-specific landing pages statewide.</w:t>
      </w:r>
    </w:p>
    <w:p>
      <w:pPr>
        <w:pStyle w:val="ListParagraph"/>
        <w:numPr>
          <w:ilvl w:val="0"/>
          <w:numId w:val="3"/>
        </w:numPr>
        <w:spacing w:after="80"/>
      </w:pPr>
      <w:r>
        <w:rPr>
          <w:b/>
          <w:bCs/>
          <w:sz w:val="22"/>
          <w:szCs w:val="22"/>
        </w:rPr>
        <w:t xml:space="preserve">New verticals — </w:t>
      </w:r>
      <w:r>
        <w:rPr>
          <w:sz w:val="22"/>
          <w:szCs w:val="22"/>
        </w:rPr>
        <w:t xml:space="preserve">Add industries (auto services, professional services, nonprofits) — each is one generator set plus survey-numbers fields.</w:t>
      </w:r>
    </w:p>
    <w:p>
      <w:pPr>
        <w:pStyle w:val="Heading1"/>
        <w:pageBreakBefore/>
      </w:pPr>
      <w:r>
        <w:t xml:space="preserve">6. Customer Acquisition Strategy — AI &amp; Automation Driven</w:t>
      </w:r>
    </w:p>
    <w:p>
      <w:pPr>
        <w:pStyle w:val="Heading2"/>
      </w:pPr>
      <w:r>
        <w:t xml:space="preserve">6.1 Funnel Math (what a customer costs)</w:t>
      </w:r>
    </w:p>
    <w:p>
      <w:pPr>
        <w:spacing w:after="140"/>
      </w:pPr>
      <w:r>
        <w:rPr>
          <w:sz w:val="22"/>
          <w:szCs w:val="22"/>
        </w:rPr>
        <w:t xml:space="preserve">2026 benchmarks: average cost per lead is roughly $67 on Google Search and $28 on Meta (Facebook/Instagram); local-service CPCs run $1.85–$12.40. Treat a completed survey as the “lead.” Working assumptions to validate in the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2300"/>
        <w:gridCol w:w="2400"/>
      </w:tblGrid>
      <w:tr>
        <w:tc>
          <w:tcPr>
            <w:tcW w:type="dxa" w:w="46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Funnel stage</w:t>
            </w:r>
          </w:p>
        </w:tc>
        <w:tc>
          <w:tcPr>
            <w:tcW w:type="dxa" w:w="23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Assumption</w:t>
            </w:r>
          </w:p>
        </w:tc>
        <w:tc>
          <w:tcPr>
            <w:tcW w:type="dxa" w:w="24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At $2,000/mo spend</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Ad click → survey started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25–40%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~150–300 starts</w:t>
            </w:r>
          </w:p>
        </w:tc>
      </w:tr>
      <w:tr>
        <w:tc>
          <w:tcPr>
            <w:tcW w:type="dxa" w:w="46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Survey started → completed</w:t>
            </w:r>
          </w:p>
        </w:tc>
        <w:tc>
          <w:tcPr>
            <w:tcW w:type="dxa" w:w="2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50–70%</w:t>
            </w:r>
          </w:p>
        </w:tc>
        <w:tc>
          <w:tcPr>
            <w:tcW w:type="dxa" w:w="24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~90–180 completions</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Cost per completed survey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$15–$45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w:t>
            </w:r>
          </w:p>
        </w:tc>
      </w:tr>
      <w:tr>
        <w:tc>
          <w:tcPr>
            <w:tcW w:type="dxa" w:w="46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Completion → purchase (30 days)</w:t>
            </w:r>
          </w:p>
        </w:tc>
        <w:tc>
          <w:tcPr>
            <w:tcW w:type="dxa" w:w="2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3–7%</w:t>
            </w:r>
          </w:p>
        </w:tc>
        <w:tc>
          <w:tcPr>
            <w:tcW w:type="dxa" w:w="24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~3–9 sales</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Blended CAC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$250–$700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vs. $1,500+ first sale</w:t>
            </w:r>
          </w:p>
        </w:tc>
      </w:tr>
    </w:tbl>
    <w:p>
      <w:pPr>
        <w:spacing w:after="120"/>
      </w:pPr>
    </w:p>
    <w:p>
      <w:pPr>
        <w:spacing w:after="140"/>
      </w:pPr>
      <w:r>
        <w:rPr>
          <w:sz w:val="22"/>
          <w:szCs w:val="22"/>
        </w:rPr>
        <w:t xml:space="preserve">Even at the pessimistic end, CAC sits well below the cheapest package price — and the Audit→Assessment upgrade credit raises lifetime value further. The funnel is viable on paper; the job is to instrument it and iterate.</w:t>
      </w:r>
    </w:p>
    <w:p>
      <w:pPr>
        <w:pStyle w:val="Heading2"/>
      </w:pPr>
      <w:r>
        <w:t xml:space="preserve">6.2 Channel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Channel</w:t>
            </w:r>
          </w:p>
        </w:tc>
        <w:tc>
          <w:tcPr>
            <w:tcW w:type="dxa" w:w="37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Play</w:t>
            </w:r>
          </w:p>
        </w:tc>
        <w:tc>
          <w:tcPr>
            <w:tcW w:type="dxa" w:w="34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Budget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Google Search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High-intent local keywords (“AI consultant Roseville”, “automate medical office”, “CRM setup real estate Sacramento”) pointing at industry landing pages with the survey CTA.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60–70% of paid budget; start ~$1,200/mo</w:t>
            </w:r>
          </w:p>
        </w:tc>
      </w:tr>
      <w:tr>
        <w:tc>
          <w:tcPr>
            <w:tcW w:type="dxa" w:w="22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Meta (FB/IG)</w:t>
            </w:r>
          </w:p>
        </w:tc>
        <w:tc>
          <w:tcPr>
            <w:tcW w:type="dxa" w:w="37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Lead-gen creative per industry: “See your AI readiness score in 10 minutes — free.” Lookalikes from survey completers once volume allows.</w:t>
            </w:r>
          </w:p>
        </w:tc>
        <w:tc>
          <w:tcPr>
            <w:tcW w:type="dxa" w:w="34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30–40%; start ~$800/mo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LinkedIn (organic first)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Founder-voice posts targeting Placer County owner-operators; share anonymized score insights and mini case studies. Paid only after organic proof.</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$0 to start</w:t>
            </w:r>
          </w:p>
        </w:tc>
      </w:tr>
      <w:tr>
        <w:tc>
          <w:tcPr>
            <w:tcW w:type="dxa" w:w="22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Nextdoor &amp; local groups</w:t>
            </w:r>
          </w:p>
        </w:tc>
        <w:tc>
          <w:tcPr>
            <w:tcW w:type="dxa" w:w="37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Neighborhood credibility: free survey as a community resource; sponsor local business events.</w:t>
            </w:r>
          </w:p>
        </w:tc>
        <w:tc>
          <w:tcPr>
            <w:tcW w:type="dxa" w:w="34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Minimal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Local SEO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Google Business Profile + city/industry landing pages (programmatic, see 6.3). Reviews from every satisfied buyer via automated ask.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$0 — engine-generated</w:t>
            </w:r>
          </w:p>
        </w:tc>
      </w:tr>
    </w:tbl>
    <w:p>
      <w:pPr>
        <w:pStyle w:val="Heading2"/>
      </w:pPr>
      <w:r>
        <w:t xml:space="preserve">6.3 The Content Engine: Use the Product to Market the Product</w:t>
      </w:r>
    </w:p>
    <w:p>
      <w:pPr>
        <w:spacing w:after="140"/>
      </w:pPr>
      <w:r>
        <w:rPr>
          <w:sz w:val="22"/>
          <w:szCs w:val="22"/>
        </w:rPr>
        <w:t xml:space="preserve">Clinovyr's own generation engine is a marketing asset. The same prompts and industry knowledge that produce paid deliverables can mass-produce acquisition content:</w:t>
      </w:r>
    </w:p>
    <w:p>
      <w:pPr>
        <w:pStyle w:val="ListParagraph"/>
        <w:numPr>
          <w:ilvl w:val="0"/>
          <w:numId w:val="3"/>
        </w:numPr>
        <w:spacing w:after="80"/>
      </w:pPr>
      <w:r>
        <w:rPr>
          <w:b/>
          <w:bCs/>
          <w:sz w:val="22"/>
          <w:szCs w:val="22"/>
        </w:rPr>
        <w:t xml:space="preserve">Sample-report lead magnets — </w:t>
      </w:r>
      <w:r>
        <w:rPr>
          <w:sz w:val="22"/>
          <w:szCs w:val="22"/>
        </w:rPr>
        <w:t xml:space="preserve">Publish a polished, anonymized sample for each industry (already generated in the sample matrix). Gate behind an email — these are the highest-converting lead magnets available because they show exactly what buyers get.</w:t>
      </w:r>
    </w:p>
    <w:p>
      <w:pPr>
        <w:pStyle w:val="ListParagraph"/>
        <w:numPr>
          <w:ilvl w:val="0"/>
          <w:numId w:val="3"/>
        </w:numPr>
        <w:spacing w:after="80"/>
      </w:pPr>
      <w:r>
        <w:rPr>
          <w:b/>
          <w:bCs/>
          <w:sz w:val="22"/>
          <w:szCs w:val="22"/>
        </w:rPr>
        <w:t xml:space="preserve">Programmatic local SEO — </w:t>
      </w:r>
      <w:r>
        <w:rPr>
          <w:sz w:val="22"/>
          <w:szCs w:val="22"/>
        </w:rPr>
        <w:t xml:space="preserve">Generate city × industry pages (6 industries × Roseville, Granite Bay, Rocklin, Lincoln, Auburn, Folsom…) with genuinely localized content: tools, regulations (HIPAA, ABA), and ROI examples per vertical. Each page ends in the survey CTA.</w:t>
      </w:r>
    </w:p>
    <w:p>
      <w:pPr>
        <w:pStyle w:val="ListParagraph"/>
        <w:numPr>
          <w:ilvl w:val="0"/>
          <w:numId w:val="3"/>
        </w:numPr>
        <w:spacing w:after="80"/>
      </w:pPr>
      <w:r>
        <w:rPr>
          <w:b/>
          <w:bCs/>
          <w:sz w:val="22"/>
          <w:szCs w:val="22"/>
        </w:rPr>
        <w:t xml:space="preserve">Automated social pipeline — </w:t>
      </w:r>
      <w:r>
        <w:rPr>
          <w:sz w:val="22"/>
          <w:szCs w:val="22"/>
        </w:rPr>
        <w:t xml:space="preserve">A Make.com scenario runs weekly: Claude drafts 5 posts per industry from a topic bank (time-drain stats, tool spotlights, mini ROI math, local angles) → human approves in a queue → Buffer/Later publishes to LinkedIn, Facebook, and Instagram. Roughly 30 minutes of review per week yields daily presence.</w:t>
      </w:r>
    </w:p>
    <w:p>
      <w:pPr>
        <w:pStyle w:val="ListParagraph"/>
        <w:numPr>
          <w:ilvl w:val="0"/>
          <w:numId w:val="3"/>
        </w:numPr>
        <w:spacing w:after="80"/>
      </w:pPr>
      <w:r>
        <w:rPr>
          <w:b/>
          <w:bCs/>
          <w:sz w:val="22"/>
          <w:szCs w:val="22"/>
        </w:rPr>
        <w:t xml:space="preserve">Video scripts — </w:t>
      </w:r>
      <w:r>
        <w:rPr>
          <w:sz w:val="22"/>
          <w:szCs w:val="22"/>
        </w:rPr>
        <w:t xml:space="preserve">Short scripts (45–60s) generated per industry: “Three things every Placer County law firm should automate first.” Record on phone, AI-edit (captions, cuts), post as Reels/Shorts.</w:t>
      </w:r>
    </w:p>
    <w:p>
      <w:pPr>
        <w:pStyle w:val="Heading2"/>
      </w:pPr>
      <w:r>
        <w:t xml:space="preserve">6.4 Social Campaign Calendar (first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c>
          <w:tcPr>
            <w:tcW w:type="dxa" w:w="15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Weeks</w:t>
            </w:r>
          </w:p>
        </w:tc>
        <w:tc>
          <w:tcPr>
            <w:tcW w:type="dxa" w:w="39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Theme</w:t>
            </w:r>
          </w:p>
        </w:tc>
        <w:tc>
          <w:tcPr>
            <w:tcW w:type="dxa" w:w="39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Content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Launch: “What's your AI readiness score?”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Survey explainer post + video, founder story, first sample-report teasers per industry</w:t>
            </w:r>
          </w:p>
        </w:tc>
      </w:tr>
      <w:tr>
        <w:tc>
          <w:tcPr>
            <w:tcW w:type="dxa" w:w="15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3–4</w:t>
            </w:r>
          </w:p>
        </w:tc>
        <w:tc>
          <w:tcPr>
            <w:tcW w:type="dxa" w:w="39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Proof: real numbers</w:t>
            </w:r>
          </w:p>
        </w:tc>
        <w:tc>
          <w:tcPr>
            <w:tcW w:type="dxa" w:w="39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ROI math posts (“a 6-chair dental office loses ~$X/yr to phone tag”), screenshot walkthroughs of deliverables, score-distribution insights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Industry deep dives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One industry per week: pain points, the 3 automations that matter, sample report download CTA</w:t>
            </w:r>
          </w:p>
        </w:tc>
      </w:tr>
      <w:tr>
        <w:tc>
          <w:tcPr>
            <w:tcW w:type="dxa" w:w="15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7–8</w:t>
            </w:r>
          </w:p>
        </w:tc>
        <w:tc>
          <w:tcPr>
            <w:tcW w:type="dxa" w:w="39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Social proof + urgency</w:t>
            </w:r>
          </w:p>
        </w:tc>
        <w:tc>
          <w:tcPr>
            <w:tcW w:type="dxa" w:w="39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First customer stories (even informal), before/after time-drain comparisons, limited founding-customer framing</w:t>
            </w:r>
          </w:p>
        </w:tc>
      </w:tr>
    </w:tbl>
    <w:p>
      <w:pPr>
        <w:pStyle w:val="Heading2"/>
      </w:pPr>
      <w:r>
        <w:t xml:space="preserve">6.5 Marketing Automation Stack</w:t>
      </w:r>
    </w:p>
    <w:p>
      <w:pPr>
        <w:pStyle w:val="ListParagraph"/>
        <w:numPr>
          <w:ilvl w:val="0"/>
          <w:numId w:val="3"/>
        </w:numPr>
        <w:spacing w:after="80"/>
      </w:pPr>
      <w:r>
        <w:rPr>
          <w:b/>
          <w:bCs/>
          <w:sz w:val="22"/>
          <w:szCs w:val="22"/>
        </w:rPr>
        <w:t xml:space="preserve">Nurture sequence (highest ROI item) — </w:t>
      </w:r>
      <w:r>
        <w:rPr>
          <w:sz w:val="22"/>
          <w:szCs w:val="22"/>
        </w:rPr>
        <w:t xml:space="preserve">Survey completers who don't buy get a 5-touch email sequence over 14 days: their score recap → the sample report for their industry → ROI math personalized to their answers → objection-handling (speed, guarantee, setup help) → upgrade-credit offer. All drafted by Claude from their stored survey data — the system already has everything needed to personalize.</w:t>
      </w:r>
    </w:p>
    <w:p>
      <w:pPr>
        <w:pStyle w:val="ListParagraph"/>
        <w:numPr>
          <w:ilvl w:val="0"/>
          <w:numId w:val="3"/>
        </w:numPr>
        <w:spacing w:after="80"/>
      </w:pPr>
      <w:r>
        <w:rPr>
          <w:b/>
          <w:bCs/>
          <w:sz w:val="22"/>
          <w:szCs w:val="22"/>
        </w:rPr>
        <w:t xml:space="preserve">Abandonment recovery — </w:t>
      </w:r>
      <w:r>
        <w:rPr>
          <w:sz w:val="22"/>
          <w:szCs w:val="22"/>
        </w:rPr>
        <w:t xml:space="preserve">Survey abandoners get one reminder email at 24 hours with a one-click resume link (progress already saves server-side).</w:t>
      </w:r>
    </w:p>
    <w:p>
      <w:pPr>
        <w:pStyle w:val="ListParagraph"/>
        <w:numPr>
          <w:ilvl w:val="0"/>
          <w:numId w:val="3"/>
        </w:numPr>
        <w:spacing w:after="80"/>
      </w:pPr>
      <w:r>
        <w:rPr>
          <w:b/>
          <w:bCs/>
          <w:sz w:val="22"/>
          <w:szCs w:val="22"/>
        </w:rPr>
        <w:t xml:space="preserve">Review + referral loop — </w:t>
      </w:r>
      <w:r>
        <w:rPr>
          <w:sz w:val="22"/>
          <w:szCs w:val="22"/>
        </w:rPr>
        <w:t xml:space="preserve">Delivered customers get an automated review ask at day 7 and a referral offer at day 21 (e.g., $250 credit per referred purchase).</w:t>
      </w:r>
    </w:p>
    <w:p>
      <w:pPr>
        <w:pStyle w:val="ListParagraph"/>
        <w:numPr>
          <w:ilvl w:val="0"/>
          <w:numId w:val="3"/>
        </w:numPr>
        <w:spacing w:after="80"/>
      </w:pPr>
      <w:r>
        <w:rPr>
          <w:b/>
          <w:bCs/>
          <w:sz w:val="22"/>
          <w:szCs w:val="22"/>
        </w:rPr>
        <w:t xml:space="preserve">Retargeting — </w:t>
      </w:r>
      <w:r>
        <w:rPr>
          <w:sz w:val="22"/>
          <w:szCs w:val="22"/>
        </w:rPr>
        <w:t xml:space="preserve">Meta/Google retargeting pixel on the site; retarget survey completers with the sample-report and guarantee creative. Small budget ($200–300/mo), disproportionate return.</w:t>
      </w:r>
    </w:p>
    <w:p>
      <w:pPr>
        <w:pStyle w:val="Heading2"/>
      </w:pPr>
      <w:r>
        <w:t xml:space="preserve">6.6 Measurement</w:t>
      </w:r>
    </w:p>
    <w:p>
      <w:pPr>
        <w:spacing w:after="140"/>
      </w:pPr>
      <w:r>
        <w:rPr>
          <w:sz w:val="22"/>
          <w:szCs w:val="22"/>
        </w:rPr>
        <w:t xml:space="preserve">Track weekly in one dashboard: ad spend, clicks, survey starts, survey completions, cost per completion, purchases by package, CAC, and revenue. The two numbers that matter most in the first 90 days are cost per completed survey (target under $45) and completion → purchase rate (target 3%+). Everything else is tuning.</w:t>
      </w:r>
    </w:p>
    <w:p>
      <w:pPr>
        <w:pStyle w:val="Heading2"/>
      </w:pPr>
      <w:r>
        <w:t xml:space="preserve">6.7 90-Day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Days</w:t>
            </w:r>
          </w:p>
        </w:tc>
        <w:tc>
          <w:tcPr>
            <w:tcW w:type="dxa" w:w="79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Focus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1–15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Finish go-live (Stripe live mode, E2E test). Publish 6 sample reports as gated lead magnets. Set up Google Business Profile, pixels, and the weekly content automation. Write the 5-touch nurture sequence.</w:t>
            </w:r>
          </w:p>
        </w:tc>
      </w:tr>
      <w:tr>
        <w:tc>
          <w:tcPr>
            <w:tcW w:type="dxa" w:w="14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16–45</w:t>
            </w:r>
          </w:p>
        </w:tc>
        <w:tc>
          <w:tcPr>
            <w:tcW w:type="dxa" w:w="79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Turn on Google Search ($1,200/mo) and Meta ($800/mo). Post daily via the automation. Ship 12+ programmatic city × industry pages. First webinar/lunch-and-learn style live walkthrough for a local business group (acquisition event, not a service).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46–90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Iterate on funnel data: kill weak keywords/creative, double down on the best industry. Launch review + referral automation with first customers. Validate upgrade-credit uptake. Decide on playbook cross-sell. Target: 15+ paid customers and a repeatable CAC under $700.</w:t>
            </w:r>
          </w:p>
        </w:tc>
      </w:tr>
    </w:tbl>
    <w:p>
      <w:pPr>
        <w:pStyle w:val="Heading1"/>
        <w:pageBreakBefore/>
      </w:pPr>
      <w:r>
        <w:t xml:space="preserve">7. Appendix — Quick Reference</w:t>
      </w:r>
    </w:p>
    <w:p>
      <w:pPr>
        <w:pStyle w:val="Heading2"/>
      </w:pPr>
      <w:r>
        <w:t xml:space="preserve">7.1 Order Lifecycle</w:t>
      </w:r>
    </w:p>
    <w:p>
      <w:pPr>
        <w:spacing w:after="140"/>
      </w:pPr>
      <w:r>
        <w:rPr>
          <w:sz w:val="22"/>
          <w:szCs w:val="22"/>
        </w:rPr>
        <w:t xml:space="preserve">pending (checkout created) → paid (webhook) → delivered (all/some files generated and uploaded). refunded set by admin. Partial or zero-file generation triggers an internal alert email; orders with zero files stay at paid for redelivery.</w:t>
      </w:r>
    </w:p>
    <w:p>
      <w:pPr>
        <w:pStyle w:val="Heading2"/>
      </w:pPr>
      <w:r>
        <w:t xml:space="preserve">7.2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Command</w:t>
            </w:r>
          </w:p>
        </w:tc>
        <w:tc>
          <w:tcPr>
            <w:tcW w:type="dxa" w:w="55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git push origin main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Deploys the site via Cloudflare build</w:t>
            </w:r>
          </w:p>
        </w:tc>
      </w:tr>
      <w:tr>
        <w:tc>
          <w:tcPr>
            <w:tcW w:type="dxa" w:w="38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npm run deploy:deliverables</w:t>
            </w:r>
          </w:p>
        </w:tc>
        <w:tc>
          <w:tcPr>
            <w:tcW w:type="dxa" w:w="55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Deploys the generation worker (manual, required after generator changes)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npx prisma db push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Apply schema changes (use direct/non-pooled Neon URL)</w:t>
            </w:r>
          </w:p>
        </w:tc>
      </w:tr>
      <w:tr>
        <w:tc>
          <w:tcPr>
            <w:tcW w:type="dxa" w:w="38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npx tsx scripts/e2e-purchase.ts</w:t>
            </w:r>
          </w:p>
        </w:tc>
        <w:tc>
          <w:tcPr>
            <w:tcW w:type="dxa" w:w="55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Full automated purchase test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npx tsx scripts/generate-samples.ts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Regenerate the sample deliverable matrix</w:t>
            </w:r>
          </w:p>
        </w:tc>
      </w:tr>
    </w:tbl>
    <w:p>
      <w:pPr>
        <w:spacing w:after="120"/>
      </w:pPr>
    </w:p>
    <w:p>
      <w:pPr>
        <w:pStyle w:val="Heading2"/>
      </w:pPr>
      <w:r>
        <w:t xml:space="preserve">7.3 Sources</w:t>
      </w:r>
    </w:p>
    <w:p>
      <w:pPr>
        <w:pStyle w:val="ListParagraph"/>
        <w:numPr>
          <w:ilvl w:val="0"/>
          <w:numId w:val="3"/>
        </w:numPr>
        <w:spacing w:after="60"/>
      </w:pPr>
      <w:hyperlink w:history="1" r:id="rIdf6qzgws1ma0bazwscf0ep">
        <w:r>
          <w:rPr>
            <w:rStyle w:val="Hyperlink"/>
            <w:sz w:val="20"/>
            <w:szCs w:val="20"/>
          </w:rPr>
          <w:t xml:space="preserve">ConsultKit — How to Price an AI Readiness Assessment (2026 market data)</w:t>
        </w:r>
      </w:hyperlink>
    </w:p>
    <w:p>
      <w:pPr>
        <w:pStyle w:val="ListParagraph"/>
        <w:numPr>
          <w:ilvl w:val="0"/>
          <w:numId w:val="3"/>
        </w:numPr>
        <w:spacing w:after="60"/>
      </w:pPr>
      <w:hyperlink w:history="1" r:id="rIdnkdvi0mmjoklduv859ufc">
        <w:r>
          <w:rPr>
            <w:rStyle w:val="Hyperlink"/>
            <w:sz w:val="20"/>
            <w:szCs w:val="20"/>
          </w:rPr>
          <w:t xml:space="preserve">Aries Consulting Group — AI Readiness Audit Cost 2026</w:t>
        </w:r>
      </w:hyperlink>
    </w:p>
    <w:p>
      <w:pPr>
        <w:pStyle w:val="ListParagraph"/>
        <w:numPr>
          <w:ilvl w:val="0"/>
          <w:numId w:val="3"/>
        </w:numPr>
        <w:spacing w:after="60"/>
      </w:pPr>
      <w:hyperlink w:history="1" r:id="rIdbfgcckgut3mlr4kbxjg-c">
        <w:r>
          <w:rPr>
            <w:rStyle w:val="Hyperlink"/>
            <w:sz w:val="20"/>
            <w:szCs w:val="20"/>
          </w:rPr>
          <w:t xml:space="preserve">The AI Consulting Network — AI Consulting for Small Businesses: Cost Guide 2026</w:t>
        </w:r>
      </w:hyperlink>
    </w:p>
    <w:p>
      <w:pPr>
        <w:pStyle w:val="ListParagraph"/>
        <w:numPr>
          <w:ilvl w:val="0"/>
          <w:numId w:val="3"/>
        </w:numPr>
        <w:spacing w:after="60"/>
      </w:pPr>
      <w:hyperlink w:history="1" r:id="rIdecb-tyn0vjodfx_3puedo">
        <w:r>
          <w:rPr>
            <w:rStyle w:val="Hyperlink"/>
            <w:sz w:val="20"/>
            <w:szCs w:val="20"/>
          </w:rPr>
          <w:t xml:space="preserve">Groovyweb — 2026 AI Consulting Rates</w:t>
        </w:r>
      </w:hyperlink>
    </w:p>
    <w:p>
      <w:pPr>
        <w:pStyle w:val="ListParagraph"/>
        <w:numPr>
          <w:ilvl w:val="0"/>
          <w:numId w:val="3"/>
        </w:numPr>
        <w:spacing w:after="60"/>
      </w:pPr>
      <w:hyperlink w:history="1" r:id="rIdfsdq59gqya7a8o3gvmk4u">
        <w:r>
          <w:rPr>
            <w:rStyle w:val="Hyperlink"/>
            <w:sz w:val="20"/>
            <w:szCs w:val="20"/>
          </w:rPr>
          <w:t xml:space="preserve">WordStream — 2026 Google Ads Benchmarks</w:t>
        </w:r>
      </w:hyperlink>
    </w:p>
    <w:p>
      <w:pPr>
        <w:pStyle w:val="ListParagraph"/>
        <w:numPr>
          <w:ilvl w:val="0"/>
          <w:numId w:val="3"/>
        </w:numPr>
        <w:spacing w:after="60"/>
      </w:pPr>
      <w:hyperlink w:history="1" r:id="rIdapyahzzn1cxmot54rtxo1">
        <w:r>
          <w:rPr>
            <w:rStyle w:val="Hyperlink"/>
            <w:sz w:val="20"/>
            <w:szCs w:val="20"/>
          </w:rPr>
          <w:t xml:space="preserve">Stackmatix — Google Ads vs Facebook Ads Cost Per Lead: 2026 Benchmarks</w:t>
        </w:r>
      </w:hyperlink>
    </w:p>
    <w:p>
      <w:pPr>
        <w:pStyle w:val="ListParagraph"/>
        <w:numPr>
          <w:ilvl w:val="0"/>
          <w:numId w:val="3"/>
        </w:numPr>
        <w:spacing w:after="60"/>
      </w:pPr>
      <w:hyperlink w:history="1" r:id="rIds9uj3it4xzeed5royn1vh">
        <w:r>
          <w:rPr>
            <w:rStyle w:val="Hyperlink"/>
            <w:sz w:val="20"/>
            <w:szCs w:val="20"/>
          </w:rPr>
          <w:t xml:space="preserve">LocalIQ — Search Advertising Benchmarks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468"/>
        <w:sz w:val="16"/>
        <w:szCs w:val="16"/>
      </w:rPr>
      <w:t xml:space="preserve">Page </w:t>
    </w:r>
    <w:r>
      <w:rPr>
        <w:color w:val="7A7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468"/>
        <w:sz w:val="16"/>
        <w:szCs w:val="16"/>
      </w:rPr>
      <w:t xml:space="preserve">Clinovyr —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5A" w:sz="8" w:space="4"/>
      </w:pBdr>
      <w:spacing w:after="200" w:before="280"/>
      <w:outlineLvl w:val="0"/>
    </w:pPr>
    <w:rPr>
      <w:rFonts w:ascii="Arial" w:cs="Arial" w:eastAsia="Arial" w:hAnsi="Arial"/>
      <w:b/>
      <w:bCs/>
      <w:color w:val="0D0F12"/>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A6B5A"/>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0D0F1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6qzgws1ma0bazwscf0ep" Type="http://schemas.openxmlformats.org/officeDocument/2006/relationships/hyperlink" Target="https://www.consultkit.ai/blog/how-to-price-an-ai-readiness-assessment-what-the-market-actually-pays-in-2026-1773479248460" TargetMode="External"/><Relationship Id="rIdnkdvi0mmjoklduv859ufc" Type="http://schemas.openxmlformats.org/officeDocument/2006/relationships/hyperlink" Target="https://ariesconsultinggroup.com/blog/ai-readiness-audit-cost/" TargetMode="External"/><Relationship Id="rIdbfgcckgut3mlr4kbxjg-c" Type="http://schemas.openxmlformats.org/officeDocument/2006/relationships/hyperlink" Target="https://www.theaiconsultingnetwork.com/blog/ai-consulting-small-businesses-cost-how-it-works" TargetMode="External"/><Relationship Id="rIdecb-tyn0vjodfx_3puedo" Type="http://schemas.openxmlformats.org/officeDocument/2006/relationships/hyperlink" Target="https://www.groovyweb.co/blog/ai-consulting-rates-2026" TargetMode="External"/><Relationship Id="rIdfsdq59gqya7a8o3gvmk4u" Type="http://schemas.openxmlformats.org/officeDocument/2006/relationships/hyperlink" Target="https://www.wordstream.com/blog/2026-google-ads-benchmarks" TargetMode="External"/><Relationship Id="rIdapyahzzn1cxmot54rtxo1" Type="http://schemas.openxmlformats.org/officeDocument/2006/relationships/hyperlink" Target="https://www.stackmatix.com/blog/google-ads-vs-facebook-ads-cost-per-lead" TargetMode="External"/><Relationship Id="rIds9uj3it4xzeed5royn1vh" Type="http://schemas.openxmlformats.org/officeDocument/2006/relationships/hyperlink" Target="https://localiq.com/blog/search-advertising-benchmark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2026-06-10T16:26:03.082Z</dcterms:created>
  <dcterms:modified xsi:type="dcterms:W3CDTF">2026-06-10T16:26:03.083Z</dcterms:modified>
</cp:coreProperties>
</file>

<file path=docProps/custom.xml><?xml version="1.0" encoding="utf-8"?>
<Properties xmlns="http://schemas.openxmlformats.org/officeDocument/2006/custom-properties" xmlns:vt="http://schemas.openxmlformats.org/officeDocument/2006/docPropsVTypes"/>
</file>