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738C"/>
          <w:sz w:val="24"/>
        </w:rPr>
        <w:t>TRAVEL BOOKING PLATFORM</w:t>
      </w:r>
    </w:p>
    <w:p>
      <w:pPr>
        <w:jc w:val="center"/>
      </w:pPr>
      <w:r>
        <w:rPr>
          <w:b/>
          <w:color w:val="1F4E79"/>
          <w:sz w:val="56"/>
        </w:rPr>
        <w:t>API &amp; BOOKING R&amp;D</w:t>
        <w:br/>
        <w:t>PLANNING REPORT</w:t>
      </w:r>
    </w:p>
    <w:p>
      <w:pPr>
        <w:jc w:val="center"/>
      </w:pPr>
      <w:r>
        <w:rPr>
          <w:color w:val="5A5A5A"/>
          <w:sz w:val="22"/>
        </w:rPr>
        <w:t>Planning stage • Vendor evaluation • Booking architecture</w:t>
      </w:r>
    </w:p>
    <w:p/>
    <w:tbl>
      <w:tblPr>
        <w:tblW w:type="auto" w:w="0"/>
        <w:jc w:val="center"/>
        <w:tblLayout w:type="fixed"/>
        <w:tblLook w:firstColumn="1" w:firstRow="1" w:lastColumn="0" w:lastRow="0" w:noHBand="0" w:noVBand="1" w:val="04A0"/>
      </w:tblPr>
      <w:tblGrid>
        <w:gridCol w:w="5112"/>
        <w:gridCol w:w="5112"/>
      </w:tblGrid>
      <w:tr>
        <w:trPr>
          <w:cantSplit/>
        </w:trPr>
        <w:tc>
          <w:tcPr>
            <w:tcW w:type="dxa" w:w="2448"/>
            <w:shd w:fill="D9EAF7"/>
            <w:vAlign w:val="center"/>
          </w:tcPr>
          <w:p>
            <w:r/>
            <w:r>
              <w:rPr>
                <w:b/>
                <w:color w:val="1F4E79"/>
                <w:sz w:val="18"/>
              </w:rPr>
              <w:t>Document status</w:t>
            </w:r>
          </w:p>
        </w:tc>
        <w:tc>
          <w:tcPr>
            <w:tcW w:type="dxa" w:w="6912"/>
            <w:vAlign w:val="center"/>
          </w:tcPr>
          <w:p>
            <w:r/>
            <w:r>
              <w:rPr>
                <w:b w:val="0"/>
                <w:sz w:val="18"/>
              </w:rPr>
              <w:t>Working / planning draft</w:t>
            </w:r>
          </w:p>
        </w:tc>
      </w:tr>
      <w:tr>
        <w:trPr>
          <w:cantSplit/>
        </w:trPr>
        <w:tc>
          <w:tcPr>
            <w:tcW w:type="dxa" w:w="2448"/>
            <w:shd w:fill="D9EAF7"/>
            <w:vAlign w:val="center"/>
          </w:tcPr>
          <w:p>
            <w:r/>
            <w:r>
              <w:rPr>
                <w:b/>
                <w:color w:val="1F4E79"/>
                <w:sz w:val="18"/>
              </w:rPr>
              <w:t>Project stage</w:t>
            </w:r>
          </w:p>
        </w:tc>
        <w:tc>
          <w:tcPr>
            <w:tcW w:type="dxa" w:w="6912"/>
            <w:vAlign w:val="center"/>
          </w:tcPr>
          <w:p>
            <w:r/>
            <w:r>
              <w:rPr>
                <w:b w:val="0"/>
                <w:sz w:val="18"/>
              </w:rPr>
              <w:t>Pre-development R&amp;D</w:t>
            </w:r>
          </w:p>
        </w:tc>
      </w:tr>
      <w:tr>
        <w:trPr>
          <w:cantSplit/>
        </w:trPr>
        <w:tc>
          <w:tcPr>
            <w:tcW w:type="dxa" w:w="2448"/>
            <w:shd w:fill="D9EAF7"/>
            <w:vAlign w:val="center"/>
          </w:tcPr>
          <w:p>
            <w:r/>
            <w:r>
              <w:rPr>
                <w:b/>
                <w:color w:val="1F4E79"/>
                <w:sz w:val="18"/>
              </w:rPr>
              <w:t>Research position</w:t>
            </w:r>
          </w:p>
        </w:tc>
        <w:tc>
          <w:tcPr>
            <w:tcW w:type="dxa" w:w="6912"/>
            <w:vAlign w:val="center"/>
          </w:tcPr>
          <w:p>
            <w:r/>
            <w:r>
              <w:rPr>
                <w:b w:val="0"/>
                <w:sz w:val="18"/>
              </w:rPr>
              <w:t>2 commercial responses received; other vendor responses pending</w:t>
            </w:r>
          </w:p>
        </w:tc>
      </w:tr>
      <w:tr>
        <w:trPr>
          <w:cantSplit/>
        </w:trPr>
        <w:tc>
          <w:tcPr>
            <w:tcW w:type="dxa" w:w="2448"/>
            <w:shd w:fill="D9EAF7"/>
            <w:vAlign w:val="center"/>
          </w:tcPr>
          <w:p>
            <w:r/>
            <w:r>
              <w:rPr>
                <w:b/>
                <w:color w:val="1F4E79"/>
                <w:sz w:val="18"/>
              </w:rPr>
              <w:t>Prepared on</w:t>
            </w:r>
          </w:p>
        </w:tc>
        <w:tc>
          <w:tcPr>
            <w:tcW w:type="dxa" w:w="6912"/>
            <w:vAlign w:val="center"/>
          </w:tcPr>
          <w:p>
            <w:r/>
            <w:r>
              <w:rPr>
                <w:b w:val="0"/>
                <w:sz w:val="18"/>
              </w:rPr>
              <w:t>15 September 2026</w:t>
            </w:r>
          </w:p>
        </w:tc>
      </w:tr>
    </w:tbl>
    <w:p/>
    <w:tbl>
      <w:tblPr>
        <w:tblW w:type="auto" w:w="0"/>
        <w:jc w:val="center"/>
        <w:tblLook w:firstColumn="1" w:firstRow="1" w:lastColumn="0" w:lastRow="0" w:noHBand="0" w:noVBand="1" w:val="04A0"/>
      </w:tblPr>
      <w:tblGrid>
        <w:gridCol w:w="10224"/>
      </w:tblGrid>
      <w:tr>
        <w:trPr>
          <w:cantSplit/>
        </w:trPr>
        <w:tc>
          <w:tcPr>
            <w:tcW w:type="dxa" w:w="10224"/>
            <w:shd w:fill="F3F6F9"/>
          </w:tcPr>
          <w:p>
            <w:pPr>
              <w:spacing w:after="0"/>
            </w:pPr>
            <w:r>
              <w:rPr>
                <w:b/>
                <w:color w:val="1F4E79"/>
              </w:rPr>
              <w:t xml:space="preserve">Planning principle: </w:t>
            </w:r>
            <w:r>
              <w:t>No provider should be selected solely on API licence price. The selected route must support the full booking lifecycle, commercial settlement model, production onboarding, and post-booking operations.</w:t>
            </w:r>
          </w:p>
        </w:tc>
      </w:tr>
    </w:tbl>
    <w:p>
      <w:pPr>
        <w:spacing w:after="40"/>
      </w:pPr>
    </w:p>
    <w:p>
      <w:r>
        <w:br w:type="page"/>
      </w:r>
    </w:p>
    <w:p>
      <w:pPr>
        <w:pStyle w:val="Heading1"/>
      </w:pPr>
      <w:r>
        <w:t>1. Executive Summary</w:t>
      </w:r>
    </w:p>
    <w:p>
      <w:r>
        <w:t>The project is currently at the planning and R&amp;D stage. The core business requirement is not only to display travel inventory, but to enable customers to complete real bookings through the platform. This makes the booking and ticketing/confirmation flow the primary technical and commercial dependency before development is locked in.</w:t>
      </w:r>
    </w:p>
    <w:p>
      <w:r>
        <w:t>Two providers have returned commercial information so far: Trawex and Ebix Travel / Via.com. Additional providers have been researched/contacted, but replies are still pending. Accordingly, this report treats the current vendor set as an evaluation pool rather than a final shortlist.</w:t>
      </w:r>
    </w:p>
    <w:p>
      <w:pPr>
        <w:pStyle w:val="ListBullet"/>
        <w:spacing w:after="60"/>
      </w:pPr>
      <w:r>
        <w:t>Current confirmed commercial lead: Ebix Travel / Via.com has quoted a one-time API fee of INR 75,000 plus 18% GST, i.e. INR 88,500 including GST, based on the response received.</w:t>
      </w:r>
    </w:p>
    <w:p>
      <w:pPr>
        <w:pStyle w:val="ListBullet"/>
        <w:spacing w:after="60"/>
      </w:pPr>
      <w:r>
        <w:t>Trawex has described a one-time API investment plus annual maintenance and a supplier deposit/wallet model, but the exact API fee was not included in the response shared for this report.</w:t>
      </w:r>
    </w:p>
    <w:p>
      <w:pPr>
        <w:pStyle w:val="ListBullet"/>
        <w:spacing w:after="60"/>
      </w:pPr>
      <w:r>
        <w:t>The Trawex example of a USD 3,000 balance appears to describe a prefunded supplier settlement balance, not necessarily an API licence fee.</w:t>
      </w:r>
    </w:p>
    <w:p>
      <w:pPr>
        <w:pStyle w:val="ListBullet"/>
        <w:spacing w:after="60"/>
      </w:pPr>
      <w:r>
        <w:t>The final selection must verify search, price revalidation, booking, ticketing/confirmation, cancellation, refund/change handling, payment/settlement, and production support.</w:t>
      </w:r>
    </w:p>
    <w:p>
      <w:pPr>
        <w:pStyle w:val="ListBullet"/>
        <w:spacing w:after="60"/>
      </w:pPr>
      <w:r>
        <w:t>Alternative booking approaches exist: a single aggregator, separate flight and hotel specialists, or a hybrid architecture with multiple suppliers behind one internal booking layer.</w:t>
      </w:r>
    </w:p>
    <w:p>
      <w:pPr>
        <w:pStyle w:val="Heading2"/>
      </w:pPr>
      <w:r>
        <w:t>1.1 Current Client Position — Incumbent Platform</w:t>
      </w:r>
    </w:p>
    <w:p>
      <w:r>
        <w:t>The client is currently operating as a middle/agent in the travel distribution chain and is using Via.com as the incumbent platform for travel booking operations. This should be treated as the current-state baseline for the project.</w:t>
      </w:r>
    </w:p>
    <w:p>
      <w:r>
        <w:t>The new platform should therefore be planned around three possible paths: (1) build a new customer-facing booking platform on top of Via.com capabilities, (2) replace selected Via.com functionality with a new API supplier, or (3) build a supplier-agnostic booking layer while retaining Via.com as the fallback/secondary supplier during migration.</w:t>
      </w:r>
    </w:p>
    <w:p>
      <w:r>
        <w:t>This distinction is commercially and technically important because the client already has an operating booking workflow. The project does not necessarily need to replace the existing booking infrastructure on day one; it may be more practical to reproduce and improve the customer experience while retaining a proven booking source until the new supplier stack is validated.</w:t>
      </w:r>
    </w:p>
    <w:p>
      <w:r>
        <w:t>Planning implication: Via.com must be evaluated as the incumbent baseline, while other API providers should be compared against the real business outcome — search, booking, ticketing/voucher issuance, cancellation/refund, settlement, markup and operational control — rather than API inventory alone.</w:t>
      </w:r>
    </w:p>
    <w:p>
      <w:pPr>
        <w:pStyle w:val="Heading1"/>
      </w:pPr>
      <w:r>
        <w:t>2. Current R&amp;D Findings</w:t>
      </w:r>
    </w:p>
    <w:p>
      <w:pPr>
        <w:pStyle w:val="Heading2"/>
      </w:pPr>
      <w:r>
        <w:t>2.1 Trawex — information received</w:t>
      </w:r>
    </w:p>
    <w:p>
      <w:pPr>
        <w:pStyle w:val="ListBullet"/>
        <w:spacing w:after="60"/>
      </w:pPr>
      <w:r>
        <w:t>Approximately 900 airlines and 500,000 hotels were stated as connected inventory in the commercial message received.</w:t>
      </w:r>
    </w:p>
    <w:p>
      <w:pPr>
        <w:pStyle w:val="ListBullet"/>
        <w:spacing w:after="60"/>
      </w:pPr>
      <w:r>
        <w:t>The provider states that direct API rates are passed through and that the client can apply its own markup as profit.</w:t>
      </w:r>
    </w:p>
    <w:p>
      <w:pPr>
        <w:pStyle w:val="ListBullet"/>
        <w:spacing w:after="60"/>
      </w:pPr>
      <w:r>
        <w:t>No commission is stated, regardless of booking volume, according to the response received.</w:t>
      </w:r>
    </w:p>
    <w:p>
      <w:pPr>
        <w:pStyle w:val="ListBullet"/>
        <w:spacing w:after="60"/>
      </w:pPr>
      <w:r>
        <w:t>The provider states that the API is a one-time investment with lifetime usage, with Annual Maintenance Cost additionally applicable.</w:t>
      </w:r>
    </w:p>
    <w:p>
      <w:pPr>
        <w:pStyle w:val="ListBullet"/>
        <w:spacing w:after="60"/>
      </w:pPr>
      <w:r>
        <w:t>The provider describes a prefunded settlement model: a deposit is maintained against supplier/base costs and the platform can add its own markup.</w:t>
      </w:r>
    </w:p>
    <w:p>
      <w:pPr>
        <w:pStyle w:val="ListBullet"/>
        <w:spacing w:after="60"/>
      </w:pPr>
      <w:r>
        <w:t>Technical integration support is stated to be available after purchase.</w:t>
      </w:r>
    </w:p>
    <w:tbl>
      <w:tblPr>
        <w:tblW w:type="auto" w:w="0"/>
        <w:jc w:val="center"/>
        <w:tblLook w:firstColumn="1" w:firstRow="1" w:lastColumn="0" w:lastRow="0" w:noHBand="0" w:noVBand="1" w:val="04A0"/>
      </w:tblPr>
      <w:tblGrid>
        <w:gridCol w:w="10224"/>
      </w:tblGrid>
      <w:tr>
        <w:trPr>
          <w:cantSplit/>
        </w:trPr>
        <w:tc>
          <w:tcPr>
            <w:tcW w:type="dxa" w:w="10224"/>
            <w:shd w:fill="FFF4CC"/>
          </w:tcPr>
          <w:p>
            <w:pPr>
              <w:spacing w:after="0"/>
            </w:pPr>
            <w:r>
              <w:rPr>
                <w:b/>
                <w:color w:val="1F4E79"/>
              </w:rPr>
              <w:t xml:space="preserve">Important gap: </w:t>
            </w:r>
            <w:r>
              <w:t>The exact API purchase price, AMC amount, booking/ticketing scope, refund workflow, and production commercial terms still need written confirmation from Trawex.</w:t>
            </w:r>
          </w:p>
        </w:tc>
      </w:tr>
    </w:tbl>
    <w:p>
      <w:pPr>
        <w:spacing w:after="40"/>
      </w:pPr>
    </w:p>
    <w:p>
      <w:pPr>
        <w:pStyle w:val="Heading2"/>
      </w:pPr>
      <w:r>
        <w:t>2.2 Ebix Travel / Via.com — information received</w:t>
      </w:r>
    </w:p>
    <w:p>
      <w:pPr>
        <w:pStyle w:val="ListBullet"/>
        <w:spacing w:after="60"/>
      </w:pPr>
      <w:r>
        <w:t>Flight connectivity is described through GDS, LCC APIs and NDC capabilities.</w:t>
      </w:r>
    </w:p>
    <w:p>
      <w:pPr>
        <w:pStyle w:val="ListBullet"/>
        <w:spacing w:after="60"/>
      </w:pPr>
      <w:r>
        <w:t>Hotel inventory is stated at more than 1.1 million unique hotels.</w:t>
      </w:r>
    </w:p>
    <w:p>
      <w:pPr>
        <w:pStyle w:val="ListBullet"/>
        <w:spacing w:after="60"/>
      </w:pPr>
      <w:r>
        <w:t>Bus connectivity is stated at more than 4,200 operators, 15 state road transport corporations and 200,000+ source/destination stations.</w:t>
      </w:r>
    </w:p>
    <w:p>
      <w:pPr>
        <w:pStyle w:val="ListBullet"/>
        <w:spacing w:after="60"/>
      </w:pPr>
      <w:r>
        <w:t>The quoted one-time API fee is INR 75,000 exclusive of taxes; at 18% GST this is INR 88,500 including GST.</w:t>
      </w:r>
    </w:p>
    <w:p>
      <w:pPr>
        <w:pStyle w:val="ListBullet"/>
        <w:spacing w:after="60"/>
      </w:pPr>
      <w:r>
        <w:t>The response positions the platform as a flight, hotel and bus solution, but production booking, ticketing, cancellation/refund, wallet, and transaction-level commercial terms should still be confirmed before selection.</w:t>
      </w:r>
    </w:p>
    <w:tbl>
      <w:tblPr>
        <w:tblW w:type="auto" w:w="0"/>
        <w:jc w:val="center"/>
        <w:tblLook w:firstColumn="1" w:firstRow="1" w:lastColumn="0" w:lastRow="0" w:noHBand="0" w:noVBand="1" w:val="04A0"/>
      </w:tblPr>
      <w:tblGrid>
        <w:gridCol w:w="10224"/>
      </w:tblGrid>
      <w:tr>
        <w:trPr>
          <w:cantSplit/>
        </w:trPr>
        <w:tc>
          <w:tcPr>
            <w:tcW w:type="dxa" w:w="10224"/>
            <w:shd w:fill="F3F6F9"/>
          </w:tcPr>
          <w:p>
            <w:pPr>
              <w:spacing w:after="0"/>
            </w:pPr>
            <w:r>
              <w:rPr>
                <w:b/>
                <w:color w:val="1F4E79"/>
              </w:rPr>
              <w:t xml:space="preserve">Commercial interpretation: </w:t>
            </w:r>
            <w:r>
              <w:t>INR 88,500 is the only explicit API fee currently known from the responses shared. It should not yet be treated as the project’s total travel-provider cost.</w:t>
            </w:r>
          </w:p>
        </w:tc>
      </w:tr>
    </w:tbl>
    <w:p>
      <w:pPr>
        <w:spacing w:after="40"/>
      </w:pPr>
    </w:p>
    <w:p>
      <w:pPr>
        <w:pStyle w:val="Heading1"/>
      </w:pPr>
      <w:r>
        <w:t>3. What the Client Actually Needs</w:t>
      </w:r>
    </w:p>
    <w:p>
      <w:r>
        <w:t>For planning purposes, the platform should be treated as an online travel booking system rather than a simple API display layer.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
              <w:rPr>
                <w:b/>
                <w:color w:val="FFFFFF"/>
                <w:sz w:val="18"/>
              </w:rPr>
              <w:t>Requirement</w:t>
            </w:r>
          </w:p>
        </w:tc>
        <w:tc>
          <w:tcPr>
            <w:tcW w:type="dxa" w:w="5112"/>
            <w:shd w:fill="1F4E79"/>
            <w:vAlign w:val="center"/>
          </w:tcPr>
          <w:p>
            <w:r/>
            <w:r>
              <w:rPr>
                <w:b/>
                <w:color w:val="FFFFFF"/>
                <w:sz w:val="18"/>
              </w:rPr>
              <w:t>Planning interpretation</w:t>
            </w:r>
          </w:p>
        </w:tc>
      </w:tr>
      <w:tr>
        <w:trPr>
          <w:cantSplit/>
        </w:trPr>
        <w:tc>
          <w:tcPr>
            <w:tcW w:type="dxa" w:w="5112"/>
            <w:vAlign w:val="center"/>
          </w:tcPr>
          <w:p>
            <w:r/>
            <w:r>
              <w:rPr>
                <w:b/>
                <w:color w:val="1F4E79"/>
                <w:sz w:val="17"/>
              </w:rPr>
              <w:t>Flight search</w:t>
            </w:r>
          </w:p>
        </w:tc>
        <w:tc>
          <w:tcPr>
            <w:tcW w:type="dxa" w:w="5112"/>
            <w:vAlign w:val="center"/>
          </w:tcPr>
          <w:p>
            <w:r/>
            <w:r>
              <w:rPr>
                <w:b w:val="0"/>
                <w:sz w:val="17"/>
              </w:rPr>
              <w:t>Search by origin, destination, dates, passenger mix, cabin; filters and sorting.</w:t>
            </w:r>
          </w:p>
        </w:tc>
      </w:tr>
      <w:tr>
        <w:trPr>
          <w:cantSplit/>
        </w:trPr>
        <w:tc>
          <w:tcPr>
            <w:tcW w:type="dxa" w:w="5112"/>
            <w:vAlign w:val="center"/>
          </w:tcPr>
          <w:p>
            <w:r/>
            <w:r>
              <w:rPr>
                <w:b/>
                <w:color w:val="1F4E79"/>
                <w:sz w:val="17"/>
              </w:rPr>
              <w:t>Flight price verification</w:t>
            </w:r>
          </w:p>
        </w:tc>
        <w:tc>
          <w:tcPr>
            <w:tcW w:type="dxa" w:w="5112"/>
            <w:vAlign w:val="center"/>
          </w:tcPr>
          <w:p>
            <w:r/>
            <w:r>
              <w:rPr>
                <w:b w:val="0"/>
                <w:sz w:val="17"/>
              </w:rPr>
              <w:t>Revalidate the selected offer before payment because inventory and pricing can change between search and booking.</w:t>
            </w:r>
          </w:p>
        </w:tc>
      </w:tr>
      <w:tr>
        <w:trPr>
          <w:cantSplit/>
        </w:trPr>
        <w:tc>
          <w:tcPr>
            <w:tcW w:type="dxa" w:w="5112"/>
            <w:vAlign w:val="center"/>
          </w:tcPr>
          <w:p>
            <w:r/>
            <w:r>
              <w:rPr>
                <w:b/>
                <w:color w:val="1F4E79"/>
                <w:sz w:val="17"/>
              </w:rPr>
              <w:t>Flight booking / ticketing</w:t>
            </w:r>
          </w:p>
        </w:tc>
        <w:tc>
          <w:tcPr>
            <w:tcW w:type="dxa" w:w="5112"/>
            <w:vAlign w:val="center"/>
          </w:tcPr>
          <w:p>
            <w:r/>
            <w:r>
              <w:rPr>
                <w:b w:val="0"/>
                <w:sz w:val="17"/>
              </w:rPr>
              <w:t>Passenger data, payment, PNR/order creation, ticket issuance or confirmation, invoice, email/SMS notifications.</w:t>
            </w:r>
          </w:p>
        </w:tc>
      </w:tr>
      <w:tr>
        <w:trPr>
          <w:cantSplit/>
        </w:trPr>
        <w:tc>
          <w:tcPr>
            <w:tcW w:type="dxa" w:w="5112"/>
            <w:vAlign w:val="center"/>
          </w:tcPr>
          <w:p>
            <w:r/>
            <w:r>
              <w:rPr>
                <w:b/>
                <w:color w:val="1F4E79"/>
                <w:sz w:val="17"/>
              </w:rPr>
              <w:t>Flight post-booking</w:t>
            </w:r>
          </w:p>
        </w:tc>
        <w:tc>
          <w:tcPr>
            <w:tcW w:type="dxa" w:w="5112"/>
            <w:vAlign w:val="center"/>
          </w:tcPr>
          <w:p>
            <w:r/>
            <w:r>
              <w:rPr>
                <w:b w:val="0"/>
                <w:sz w:val="17"/>
              </w:rPr>
              <w:t>Retrieve booking, cancellation, change/exchange, refund status, and support workflow as supported by supplier.</w:t>
            </w:r>
          </w:p>
        </w:tc>
      </w:tr>
      <w:tr>
        <w:trPr>
          <w:cantSplit/>
        </w:trPr>
        <w:tc>
          <w:tcPr>
            <w:tcW w:type="dxa" w:w="5112"/>
            <w:vAlign w:val="center"/>
          </w:tcPr>
          <w:p>
            <w:r/>
            <w:r>
              <w:rPr>
                <w:b/>
                <w:color w:val="1F4E79"/>
                <w:sz w:val="17"/>
              </w:rPr>
              <w:t>Hotel search</w:t>
            </w:r>
          </w:p>
        </w:tc>
        <w:tc>
          <w:tcPr>
            <w:tcW w:type="dxa" w:w="5112"/>
            <w:vAlign w:val="center"/>
          </w:tcPr>
          <w:p>
            <w:r/>
            <w:r>
              <w:rPr>
                <w:b w:val="0"/>
                <w:sz w:val="17"/>
              </w:rPr>
              <w:t>Destination, dates, room/guest occupancy, filters, property details, room options, meal plans and cancellation policy.</w:t>
            </w:r>
          </w:p>
        </w:tc>
      </w:tr>
      <w:tr>
        <w:trPr>
          <w:cantSplit/>
        </w:trPr>
        <w:tc>
          <w:tcPr>
            <w:tcW w:type="dxa" w:w="5112"/>
            <w:vAlign w:val="center"/>
          </w:tcPr>
          <w:p>
            <w:r/>
            <w:r>
              <w:rPr>
                <w:b/>
                <w:color w:val="1F4E79"/>
                <w:sz w:val="17"/>
              </w:rPr>
              <w:t>Hotel price verification</w:t>
            </w:r>
          </w:p>
        </w:tc>
        <w:tc>
          <w:tcPr>
            <w:tcW w:type="dxa" w:w="5112"/>
            <w:vAlign w:val="center"/>
          </w:tcPr>
          <w:p>
            <w:r/>
            <w:r>
              <w:rPr>
                <w:b w:val="0"/>
                <w:sz w:val="17"/>
              </w:rPr>
              <w:t>Final availability/rate check before commitment where required.</w:t>
            </w:r>
          </w:p>
        </w:tc>
      </w:tr>
      <w:tr>
        <w:trPr>
          <w:cantSplit/>
        </w:trPr>
        <w:tc>
          <w:tcPr>
            <w:tcW w:type="dxa" w:w="5112"/>
            <w:vAlign w:val="center"/>
          </w:tcPr>
          <w:p>
            <w:r/>
            <w:r>
              <w:rPr>
                <w:b/>
                <w:color w:val="1F4E79"/>
                <w:sz w:val="17"/>
              </w:rPr>
              <w:t>Hotel booking</w:t>
            </w:r>
          </w:p>
        </w:tc>
        <w:tc>
          <w:tcPr>
            <w:tcW w:type="dxa" w:w="5112"/>
            <w:vAlign w:val="center"/>
          </w:tcPr>
          <w:p>
            <w:r/>
            <w:r>
              <w:rPr>
                <w:b w:val="0"/>
                <w:sz w:val="17"/>
              </w:rPr>
              <w:t>Guest details, payment/settlement, booking confirmation and voucher.</w:t>
            </w:r>
          </w:p>
        </w:tc>
      </w:tr>
      <w:tr>
        <w:trPr>
          <w:cantSplit/>
        </w:trPr>
        <w:tc>
          <w:tcPr>
            <w:tcW w:type="dxa" w:w="5112"/>
            <w:vAlign w:val="center"/>
          </w:tcPr>
          <w:p>
            <w:r/>
            <w:r>
              <w:rPr>
                <w:b/>
                <w:color w:val="1F4E79"/>
                <w:sz w:val="17"/>
              </w:rPr>
              <w:t>Hotel post-booking</w:t>
            </w:r>
          </w:p>
        </w:tc>
        <w:tc>
          <w:tcPr>
            <w:tcW w:type="dxa" w:w="5112"/>
            <w:vAlign w:val="center"/>
          </w:tcPr>
          <w:p>
            <w:r/>
            <w:r>
              <w:rPr>
                <w:b w:val="0"/>
                <w:sz w:val="17"/>
              </w:rPr>
              <w:t>Cancellation, modification and status retrieval where supplier supports it.</w:t>
            </w:r>
          </w:p>
        </w:tc>
      </w:tr>
      <w:tr>
        <w:trPr>
          <w:cantSplit/>
        </w:trPr>
        <w:tc>
          <w:tcPr>
            <w:tcW w:type="dxa" w:w="5112"/>
            <w:vAlign w:val="center"/>
          </w:tcPr>
          <w:p>
            <w:r/>
            <w:r>
              <w:rPr>
                <w:b/>
                <w:color w:val="1F4E79"/>
                <w:sz w:val="17"/>
              </w:rPr>
              <w:t>Markup and commercial rules</w:t>
            </w:r>
          </w:p>
        </w:tc>
        <w:tc>
          <w:tcPr>
            <w:tcW w:type="dxa" w:w="5112"/>
            <w:vAlign w:val="center"/>
          </w:tcPr>
          <w:p>
            <w:r/>
            <w:r>
              <w:rPr>
                <w:b w:val="0"/>
                <w:sz w:val="17"/>
              </w:rPr>
              <w:t>Admin-defined markup by product, route, supplier, customer type or percentage/fixed amount.</w:t>
            </w:r>
          </w:p>
        </w:tc>
      </w:tr>
      <w:tr>
        <w:trPr>
          <w:cantSplit/>
        </w:trPr>
        <w:tc>
          <w:tcPr>
            <w:tcW w:type="dxa" w:w="5112"/>
            <w:vAlign w:val="center"/>
          </w:tcPr>
          <w:p>
            <w:r/>
            <w:r>
              <w:rPr>
                <w:b/>
                <w:color w:val="1F4E79"/>
                <w:sz w:val="17"/>
              </w:rPr>
              <w:t>Payment</w:t>
            </w:r>
          </w:p>
        </w:tc>
        <w:tc>
          <w:tcPr>
            <w:tcW w:type="dxa" w:w="5112"/>
            <w:vAlign w:val="center"/>
          </w:tcPr>
          <w:p>
            <w:r/>
            <w:r>
              <w:rPr>
                <w:b w:val="0"/>
                <w:sz w:val="17"/>
              </w:rPr>
              <w:t>Customer payment gateway, payment reconciliation, refund handling and transaction audit trail.</w:t>
            </w:r>
          </w:p>
        </w:tc>
      </w:tr>
      <w:tr>
        <w:trPr>
          <w:cantSplit/>
        </w:trPr>
        <w:tc>
          <w:tcPr>
            <w:tcW w:type="dxa" w:w="5112"/>
            <w:vAlign w:val="center"/>
          </w:tcPr>
          <w:p>
            <w:r/>
            <w:r>
              <w:rPr>
                <w:b/>
                <w:color w:val="1F4E79"/>
                <w:sz w:val="17"/>
              </w:rPr>
              <w:t>Admin / operations</w:t>
            </w:r>
          </w:p>
        </w:tc>
        <w:tc>
          <w:tcPr>
            <w:tcW w:type="dxa" w:w="5112"/>
            <w:vAlign w:val="center"/>
          </w:tcPr>
          <w:p>
            <w:r/>
            <w:r>
              <w:rPr>
                <w:b w:val="0"/>
                <w:sz w:val="17"/>
              </w:rPr>
              <w:t>Booking dashboard, supplier references, failed-booking queue, manual intervention, refund tracking and reports.</w:t>
            </w:r>
          </w:p>
        </w:tc>
      </w:tr>
    </w:tbl>
    <w:p>
      <w:pPr>
        <w:pStyle w:val="Heading1"/>
      </w:pPr>
      <w:r>
        <w:t>4. Target Booking Lifecycle</w:t>
      </w:r>
    </w:p>
    <w:p>
      <w:pPr>
        <w:pStyle w:val="Heading2"/>
      </w:pPr>
      <w:r>
        <w:t>4.1 Flight booking flow</w:t>
      </w:r>
    </w:p>
    <w:p>
      <w:r>
        <w:t>Search → shortlist → fare/offer details → price/availability revalidation → passenger details → ancillary selection → payment → supplier booking → ticket/PNR confirmation → customer notification → post-booking management.</w:t>
      </w:r>
    </w:p>
    <w:p>
      <w:pPr>
        <w:pStyle w:val="Heading2"/>
      </w:pPr>
      <w:r>
        <w:t>4.2 Hotel booking flow</w:t>
      </w:r>
    </w:p>
    <w:p>
      <w:r>
        <w:t>Search → property/room details → cancellation/payment policy → rate recheck where required → guest details → payment/settlement → confirmation → voucher → post-booking cancellation/modification.</w:t>
      </w: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0"/>
            </w:pPr>
            <w:r>
              <w:rPr>
                <w:b/>
                <w:color w:val="1F4E79"/>
              </w:rPr>
              <w:t xml:space="preserve">Architecture implication: </w:t>
            </w:r>
            <w:r>
              <w:t>The application should not bind the customer-facing UI directly to one supplier’s response format. A normalized internal booking model should sit between the UI and external APIs so that additional suppliers can be added later.</w:t>
            </w:r>
          </w:p>
        </w:tc>
      </w:tr>
    </w:tbl>
    <w:p>
      <w:pPr>
        <w:spacing w:after="40"/>
      </w:pPr>
    </w:p>
    <w:p>
      <w:pPr>
        <w:pStyle w:val="Heading1"/>
      </w:pPr>
      <w:r>
        <w:t>5. Booking Alternatives to Evaluate</w:t>
      </w:r>
    </w:p>
    <w:p>
      <w:r>
        <w:t>The alternatives below are not presented as final recommendations. They are suitable candidates for the next stage of technical/commercial due diligence.</w:t>
      </w:r>
    </w:p>
    <w:p>
      <w:pPr>
        <w:pStyle w:val="Heading2"/>
      </w:pPr>
      <w:r>
        <w:t>Travelport TripServices</w:t>
      </w:r>
    </w:p>
    <w:p>
      <w:r>
        <w:rPr>
          <w:b/>
        </w:rPr>
        <w:t xml:space="preserve">Potential fit: </w:t>
      </w:r>
      <w:r>
        <w:t>Strong enterprise option for flight + hotel/stays orchestration; suitable if the project expects multiple supplier/GDS workflows and scalable booking operations.</w:t>
      </w:r>
    </w:p>
    <w:p>
      <w:r>
        <w:rPr>
          <w:b/>
        </w:rPr>
        <w:t xml:space="preserve">Current evidence: </w:t>
      </w:r>
      <w:r>
        <w:t>Travelport’s current developer documentation exposes Flights, Stays and Pay APIs. Its Flights APIs support booking workflows, and Unified Checkout can be used for single-request fulfillment in supported flows.</w:t>
      </w:r>
    </w:p>
    <w:p>
      <w:r>
        <w:rPr>
          <w:b/>
        </w:rPr>
        <w:t xml:space="preserve">Watch-outs to verify: </w:t>
      </w:r>
      <w:r>
        <w:t>Commercial onboarding, market/agency eligibility, ticketing authority, payment flow, fare content availability, and production access should be confirmed.</w:t>
      </w:r>
    </w:p>
    <w:p>
      <w:pPr>
        <w:pStyle w:val="Heading2"/>
      </w:pPr>
      <w:r>
        <w:t>Amadeus for Developers</w:t>
      </w:r>
    </w:p>
    <w:p>
      <w:r>
        <w:rPr>
          <w:b/>
        </w:rPr>
        <w:t xml:space="preserve">Potential fit: </w:t>
      </w:r>
      <w:r>
        <w:t>Strong option for an internationally oriented MVP, especially where direct developer tooling and documented hotel/flight workflows are valuable.</w:t>
      </w:r>
    </w:p>
    <w:p>
      <w:r>
        <w:rPr>
          <w:b/>
        </w:rPr>
        <w:t xml:space="preserve">Current evidence: </w:t>
      </w:r>
      <w:r>
        <w:t>Amadeus documents Flight Create Orders and Hotel Booking APIs; its current hotel documentation describes completing hotel bookings using an offer, guest and payment information.</w:t>
      </w:r>
    </w:p>
    <w:p>
      <w:r>
        <w:rPr>
          <w:b/>
        </w:rPr>
        <w:t xml:space="preserve">Watch-outs to verify: </w:t>
      </w:r>
      <w:r>
        <w:t>Coverage by market/supplier, markup capability, ticketing scope, post-booking cancellation/change functionality, and commercial limits need verification for the exact business model.</w:t>
      </w:r>
    </w:p>
    <w:p>
      <w:pPr>
        <w:pStyle w:val="Heading2"/>
      </w:pPr>
      <w:r>
        <w:t>Duffel</w:t>
      </w:r>
    </w:p>
    <w:p>
      <w:r>
        <w:rPr>
          <w:b/>
        </w:rPr>
        <w:t xml:space="preserve">Potential fit: </w:t>
      </w:r>
      <w:r>
        <w:t>Strong modern API-first option for flight booking, especially if the project is focused on a clean developer experience and airline/NDC-oriented workflows.</w:t>
      </w:r>
    </w:p>
    <w:p>
      <w:r>
        <w:rPr>
          <w:b/>
        </w:rPr>
        <w:t xml:space="preserve">Current evidence: </w:t>
      </w:r>
      <w:r>
        <w:t>Duffel documents an end-to-end flight order flow: search offers, select an offer, create an order, and handle instant payment or supported hold flows. Its documentation also exposes order management capabilities.</w:t>
      </w:r>
    </w:p>
    <w:p>
      <w:r>
        <w:rPr>
          <w:b/>
        </w:rPr>
        <w:t xml:space="preserve">Watch-outs to verify: </w:t>
      </w:r>
      <w:r>
        <w:t>The client’s required hotel/flight mix, airline coverage in India, commercial terms, payment balance model, and any market restrictions need confirmation.</w:t>
      </w:r>
    </w:p>
    <w:p>
      <w:pPr>
        <w:pStyle w:val="Heading2"/>
      </w:pPr>
      <w:r>
        <w:t>TBO</w:t>
      </w:r>
    </w:p>
    <w:p>
      <w:r>
        <w:rPr>
          <w:b/>
        </w:rPr>
        <w:t xml:space="preserve">Potential fit: </w:t>
      </w:r>
      <w:r>
        <w:t>Very relevant for an India-centric B2B travel business because the platform explicitly targets travel buyers and provides real-time booking of flights and hotels, plus other travel products.</w:t>
      </w:r>
    </w:p>
    <w:p>
      <w:r>
        <w:rPr>
          <w:b/>
        </w:rPr>
        <w:t xml:space="preserve">Current evidence: </w:t>
      </w:r>
      <w:r>
        <w:t>TBO states that its platform supports real-time bookings for flights, hotels, car rentals, transfers and sightseeing, with a large agent base and dedicated support.</w:t>
      </w:r>
    </w:p>
    <w:p>
      <w:r>
        <w:rPr>
          <w:b/>
        </w:rPr>
        <w:t xml:space="preserve">Watch-outs to verify: </w:t>
      </w:r>
      <w:r>
        <w:t>API access model, markup rules, wallet/credit requirements, exact XML/API scope, ticketing/refund workflows and production onboarding need written confirmation.</w:t>
      </w:r>
    </w:p>
    <w:p>
      <w:pPr>
        <w:pStyle w:val="Heading2"/>
      </w:pPr>
      <w:r>
        <w:t>TripJack</w:t>
      </w:r>
    </w:p>
    <w:p>
      <w:r>
        <w:rPr>
          <w:b/>
        </w:rPr>
        <w:t xml:space="preserve">Potential fit: </w:t>
      </w:r>
      <w:r>
        <w:t>Worth evaluating for India-focused hotel booking and potentially broader travel supply, particularly where a local partner and Indian-market workflows matter.</w:t>
      </w:r>
    </w:p>
    <w:p>
      <w:r>
        <w:rPr>
          <w:b/>
        </w:rPr>
        <w:t xml:space="preserve">Current evidence: </w:t>
      </w:r>
      <w:r>
        <w:t>TripJack’s current hotel API documentation describes a complete flow of Search → Detail → Review (revalidation) → Book, including instant and hold booking modes and booking retrieval/cancellation endpoints.</w:t>
      </w:r>
    </w:p>
    <w:p>
      <w:r>
        <w:rPr>
          <w:b/>
        </w:rPr>
        <w:t xml:space="preserve">Watch-outs to verify: </w:t>
      </w:r>
      <w:r>
        <w:t>Flight API coverage, commercial terms, ticketing, support SLAs, supplier breadth and production certification requirements need confirmation.</w:t>
      </w:r>
    </w:p>
    <w:p>
      <w:pPr>
        <w:pStyle w:val="Heading2"/>
      </w:pPr>
      <w:r>
        <w:t>Hotelbeds</w:t>
      </w:r>
    </w:p>
    <w:p>
      <w:r>
        <w:rPr>
          <w:b/>
        </w:rPr>
        <w:t xml:space="preserve">Potential fit: </w:t>
      </w:r>
      <w:r>
        <w:t>Excellent specialist option if hotel inventory quality becomes a major requirement and flights are sourced separately.</w:t>
      </w:r>
    </w:p>
    <w:p>
      <w:r>
        <w:rPr>
          <w:b/>
        </w:rPr>
        <w:t xml:space="preserve">Current evidence: </w:t>
      </w:r>
      <w:r>
        <w:t>Hotelbeds documents a full hotel booking API with hotel search, CheckRates revalidation, bookings, modifications and cancellations.</w:t>
      </w:r>
    </w:p>
    <w:p>
      <w:r>
        <w:rPr>
          <w:b/>
        </w:rPr>
        <w:t xml:space="preserve">Watch-outs to verify: </w:t>
      </w:r>
      <w:r>
        <w:t>It is a hotel specialist rather than a one-stop flight+hotel solution; commercial onboarding, markup/settlement model and market eligibility need verification.</w:t>
      </w:r>
    </w:p>
    <w:p>
      <w:pPr>
        <w:pStyle w:val="Heading2"/>
      </w:pPr>
      <w:r>
        <w:t>Expedia Rapid</w:t>
      </w:r>
    </w:p>
    <w:p>
      <w:r>
        <w:rPr>
          <w:b/>
        </w:rPr>
        <w:t xml:space="preserve">Potential fit: </w:t>
      </w:r>
      <w:r>
        <w:t>Strong hotel-focused alternative where a large accommodation catalogue and a custom booking journey are priorities.</w:t>
      </w:r>
    </w:p>
    <w:p>
      <w:r>
        <w:rPr>
          <w:b/>
        </w:rPr>
        <w:t xml:space="preserve">Current evidence: </w:t>
      </w:r>
      <w:r>
        <w:t>Expedia’s Rapid Lodging API is designed for a custom end-to-end lodging booking experience and documents property, rate and booking-path APIs. Production access requires partner onboarding and launch review.</w:t>
      </w:r>
    </w:p>
    <w:p>
      <w:r>
        <w:rPr>
          <w:b/>
        </w:rPr>
        <w:t xml:space="preserve">Watch-outs to verify: </w:t>
      </w:r>
      <w:r>
        <w:t>Partner approval, B2B/B2C rules, payment model, markup economics, cancellation and market restrictions need verification.</w:t>
      </w:r>
    </w:p>
    <w:p>
      <w:pPr>
        <w:pStyle w:val="Heading1"/>
      </w:pPr>
      <w:r>
        <w:t>6. Planning-Level Comparison Matrix</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rPr>
        <w:tc>
          <w:tcPr>
            <w:tcW w:type="dxa" w:w="1461"/>
            <w:shd w:fill="1F4E79"/>
            <w:vAlign w:val="center"/>
          </w:tcPr>
          <w:p>
            <w:r/>
            <w:r>
              <w:rPr>
                <w:b/>
                <w:color w:val="FFFFFF"/>
                <w:sz w:val="15"/>
              </w:rPr>
              <w:t>Option</w:t>
            </w:r>
          </w:p>
        </w:tc>
        <w:tc>
          <w:tcPr>
            <w:tcW w:type="dxa" w:w="1461"/>
            <w:shd w:fill="1F4E79"/>
            <w:vAlign w:val="center"/>
          </w:tcPr>
          <w:p>
            <w:r/>
            <w:r>
              <w:rPr>
                <w:b/>
                <w:color w:val="FFFFFF"/>
                <w:sz w:val="15"/>
              </w:rPr>
              <w:t>Flights</w:t>
            </w:r>
          </w:p>
        </w:tc>
        <w:tc>
          <w:tcPr>
            <w:tcW w:type="dxa" w:w="1461"/>
            <w:shd w:fill="1F4E79"/>
            <w:vAlign w:val="center"/>
          </w:tcPr>
          <w:p>
            <w:r/>
            <w:r>
              <w:rPr>
                <w:b/>
                <w:color w:val="FFFFFF"/>
                <w:sz w:val="15"/>
              </w:rPr>
              <w:t>Hotels</w:t>
            </w:r>
          </w:p>
        </w:tc>
        <w:tc>
          <w:tcPr>
            <w:tcW w:type="dxa" w:w="1461"/>
            <w:shd w:fill="1F4E79"/>
            <w:vAlign w:val="center"/>
          </w:tcPr>
          <w:p>
            <w:r/>
            <w:r>
              <w:rPr>
                <w:b/>
                <w:color w:val="FFFFFF"/>
                <w:sz w:val="15"/>
              </w:rPr>
              <w:t>Booking flow</w:t>
            </w:r>
          </w:p>
        </w:tc>
        <w:tc>
          <w:tcPr>
            <w:tcW w:type="dxa" w:w="1461"/>
            <w:shd w:fill="1F4E79"/>
            <w:vAlign w:val="center"/>
          </w:tcPr>
          <w:p>
            <w:r/>
            <w:r>
              <w:rPr>
                <w:b/>
                <w:color w:val="FFFFFF"/>
                <w:sz w:val="15"/>
              </w:rPr>
              <w:t>India relevance</w:t>
            </w:r>
          </w:p>
        </w:tc>
        <w:tc>
          <w:tcPr>
            <w:tcW w:type="dxa" w:w="1461"/>
            <w:shd w:fill="1F4E79"/>
            <w:vAlign w:val="center"/>
          </w:tcPr>
          <w:p>
            <w:r/>
            <w:r>
              <w:rPr>
                <w:b/>
                <w:color w:val="FFFFFF"/>
                <w:sz w:val="15"/>
              </w:rPr>
              <w:t>Integration posture</w:t>
            </w:r>
          </w:p>
        </w:tc>
        <w:tc>
          <w:tcPr>
            <w:tcW w:type="dxa" w:w="1461"/>
            <w:shd w:fill="1F4E79"/>
            <w:vAlign w:val="center"/>
          </w:tcPr>
          <w:p>
            <w:r/>
            <w:r>
              <w:rPr>
                <w:b/>
                <w:color w:val="FFFFFF"/>
                <w:sz w:val="15"/>
              </w:rPr>
              <w:t>Current status</w:t>
            </w:r>
          </w:p>
        </w:tc>
      </w:tr>
      <w:tr>
        <w:trPr>
          <w:cantSplit/>
        </w:trPr>
        <w:tc>
          <w:tcPr>
            <w:tcW w:type="dxa" w:w="1461"/>
            <w:vAlign w:val="center"/>
          </w:tcPr>
          <w:p>
            <w:r/>
            <w:r>
              <w:rPr>
                <w:b/>
                <w:color w:val="1F4E79"/>
                <w:sz w:val="14"/>
              </w:rPr>
              <w:t>Trawex</w:t>
            </w:r>
          </w:p>
        </w:tc>
        <w:tc>
          <w:tcPr>
            <w:tcW w:type="dxa" w:w="1461"/>
            <w:vAlign w:val="center"/>
          </w:tcPr>
          <w:p>
            <w:r/>
            <w:r>
              <w:rPr>
                <w:b w:val="0"/>
                <w:sz w:val="14"/>
              </w:rPr>
              <w:t>Yes (stated)</w:t>
            </w:r>
          </w:p>
        </w:tc>
        <w:tc>
          <w:tcPr>
            <w:tcW w:type="dxa" w:w="1461"/>
            <w:vAlign w:val="center"/>
          </w:tcPr>
          <w:p>
            <w:r/>
            <w:r>
              <w:rPr>
                <w:b w:val="0"/>
                <w:sz w:val="14"/>
              </w:rPr>
              <w:t>Yes (stated)</w:t>
            </w:r>
          </w:p>
        </w:tc>
        <w:tc>
          <w:tcPr>
            <w:tcW w:type="dxa" w:w="1461"/>
            <w:vAlign w:val="center"/>
          </w:tcPr>
          <w:p>
            <w:r/>
            <w:r>
              <w:rPr>
                <w:b w:val="0"/>
                <w:sz w:val="14"/>
              </w:rPr>
              <w:t>Must verify end-to-end</w:t>
            </w:r>
          </w:p>
        </w:tc>
        <w:tc>
          <w:tcPr>
            <w:tcW w:type="dxa" w:w="1461"/>
            <w:vAlign w:val="center"/>
          </w:tcPr>
          <w:p>
            <w:r/>
            <w:r>
              <w:rPr>
                <w:b w:val="0"/>
                <w:sz w:val="14"/>
              </w:rPr>
              <w:t>To verify</w:t>
            </w:r>
          </w:p>
        </w:tc>
        <w:tc>
          <w:tcPr>
            <w:tcW w:type="dxa" w:w="1461"/>
            <w:vAlign w:val="center"/>
          </w:tcPr>
          <w:p>
            <w:r/>
            <w:r>
              <w:rPr>
                <w:b w:val="0"/>
                <w:sz w:val="14"/>
              </w:rPr>
              <w:t>Aggregator / turnkey-oriented</w:t>
            </w:r>
          </w:p>
        </w:tc>
        <w:tc>
          <w:tcPr>
            <w:tcW w:type="dxa" w:w="1461"/>
            <w:vAlign w:val="center"/>
          </w:tcPr>
          <w:p>
            <w:r/>
            <w:r>
              <w:rPr>
                <w:b w:val="0"/>
                <w:sz w:val="14"/>
              </w:rPr>
              <w:t>Commercial response received</w:t>
            </w:r>
          </w:p>
        </w:tc>
      </w:tr>
      <w:tr>
        <w:trPr>
          <w:cantSplit/>
        </w:trPr>
        <w:tc>
          <w:tcPr>
            <w:tcW w:type="dxa" w:w="1461"/>
            <w:vAlign w:val="center"/>
          </w:tcPr>
          <w:p>
            <w:r/>
            <w:r>
              <w:rPr>
                <w:b/>
                <w:color w:val="1F4E79"/>
                <w:sz w:val="14"/>
              </w:rPr>
              <w:t>Ebix / Via.com</w:t>
            </w:r>
          </w:p>
        </w:tc>
        <w:tc>
          <w:tcPr>
            <w:tcW w:type="dxa" w:w="1461"/>
            <w:vAlign w:val="center"/>
          </w:tcPr>
          <w:p>
            <w:r/>
            <w:r>
              <w:rPr>
                <w:b w:val="0"/>
                <w:sz w:val="14"/>
              </w:rPr>
              <w:t>Yes</w:t>
            </w:r>
          </w:p>
        </w:tc>
        <w:tc>
          <w:tcPr>
            <w:tcW w:type="dxa" w:w="1461"/>
            <w:vAlign w:val="center"/>
          </w:tcPr>
          <w:p>
            <w:r/>
            <w:r>
              <w:rPr>
                <w:b w:val="0"/>
                <w:sz w:val="14"/>
              </w:rPr>
              <w:t>Yes</w:t>
            </w:r>
          </w:p>
        </w:tc>
        <w:tc>
          <w:tcPr>
            <w:tcW w:type="dxa" w:w="1461"/>
            <w:vAlign w:val="center"/>
          </w:tcPr>
          <w:p>
            <w:r/>
            <w:r>
              <w:rPr>
                <w:b w:val="0"/>
                <w:sz w:val="14"/>
              </w:rPr>
              <w:t>Must verify ticketing/post-booking</w:t>
            </w:r>
          </w:p>
        </w:tc>
        <w:tc>
          <w:tcPr>
            <w:tcW w:type="dxa" w:w="1461"/>
            <w:vAlign w:val="center"/>
          </w:tcPr>
          <w:p>
            <w:r/>
            <w:r>
              <w:rPr>
                <w:b w:val="0"/>
                <w:sz w:val="14"/>
              </w:rPr>
              <w:t>High potential</w:t>
            </w:r>
          </w:p>
        </w:tc>
        <w:tc>
          <w:tcPr>
            <w:tcW w:type="dxa" w:w="1461"/>
            <w:vAlign w:val="center"/>
          </w:tcPr>
          <w:p>
            <w:r/>
            <w:r>
              <w:rPr>
                <w:b w:val="0"/>
                <w:sz w:val="14"/>
              </w:rPr>
              <w:t>Aggregator / B2B-oriented</w:t>
            </w:r>
          </w:p>
        </w:tc>
        <w:tc>
          <w:tcPr>
            <w:tcW w:type="dxa" w:w="1461"/>
            <w:vAlign w:val="center"/>
          </w:tcPr>
          <w:p>
            <w:r/>
            <w:r>
              <w:rPr>
                <w:b w:val="0"/>
                <w:sz w:val="14"/>
              </w:rPr>
              <w:t>Commercial response received</w:t>
            </w:r>
          </w:p>
        </w:tc>
      </w:tr>
      <w:tr>
        <w:trPr>
          <w:cantSplit/>
        </w:trPr>
        <w:tc>
          <w:tcPr>
            <w:tcW w:type="dxa" w:w="1461"/>
            <w:vAlign w:val="center"/>
          </w:tcPr>
          <w:p>
            <w:r/>
            <w:r>
              <w:rPr>
                <w:b/>
                <w:color w:val="1F4E79"/>
                <w:sz w:val="14"/>
              </w:rPr>
              <w:t>Travelport</w:t>
            </w:r>
          </w:p>
        </w:tc>
        <w:tc>
          <w:tcPr>
            <w:tcW w:type="dxa" w:w="1461"/>
            <w:vAlign w:val="center"/>
          </w:tcPr>
          <w:p>
            <w:r/>
            <w:r>
              <w:rPr>
                <w:b w:val="0"/>
                <w:sz w:val="14"/>
              </w:rPr>
              <w:t>Strong</w:t>
            </w:r>
          </w:p>
        </w:tc>
        <w:tc>
          <w:tcPr>
            <w:tcW w:type="dxa" w:w="1461"/>
            <w:vAlign w:val="center"/>
          </w:tcPr>
          <w:p>
            <w:r/>
            <w:r>
              <w:rPr>
                <w:b w:val="0"/>
                <w:sz w:val="14"/>
              </w:rPr>
              <w:t>Yes</w:t>
            </w:r>
          </w:p>
        </w:tc>
        <w:tc>
          <w:tcPr>
            <w:tcW w:type="dxa" w:w="1461"/>
            <w:vAlign w:val="center"/>
          </w:tcPr>
          <w:p>
            <w:r/>
            <w:r>
              <w:rPr>
                <w:b w:val="0"/>
                <w:sz w:val="14"/>
              </w:rPr>
              <w:t>Documented</w:t>
            </w:r>
          </w:p>
        </w:tc>
        <w:tc>
          <w:tcPr>
            <w:tcW w:type="dxa" w:w="1461"/>
            <w:vAlign w:val="center"/>
          </w:tcPr>
          <w:p>
            <w:r/>
            <w:r>
              <w:rPr>
                <w:b w:val="0"/>
                <w:sz w:val="14"/>
              </w:rPr>
              <w:t>To verify</w:t>
            </w:r>
          </w:p>
        </w:tc>
        <w:tc>
          <w:tcPr>
            <w:tcW w:type="dxa" w:w="1461"/>
            <w:vAlign w:val="center"/>
          </w:tcPr>
          <w:p>
            <w:r/>
            <w:r>
              <w:rPr>
                <w:b w:val="0"/>
                <w:sz w:val="14"/>
              </w:rPr>
              <w:t>Enterprise / developer APIs</w:t>
            </w:r>
          </w:p>
        </w:tc>
        <w:tc>
          <w:tcPr>
            <w:tcW w:type="dxa" w:w="1461"/>
            <w:vAlign w:val="center"/>
          </w:tcPr>
          <w:p>
            <w:r/>
            <w:r>
              <w:rPr>
                <w:b w:val="0"/>
                <w:sz w:val="14"/>
              </w:rPr>
              <w:t>Candidate</w:t>
            </w:r>
          </w:p>
        </w:tc>
      </w:tr>
      <w:tr>
        <w:trPr>
          <w:cantSplit/>
        </w:trPr>
        <w:tc>
          <w:tcPr>
            <w:tcW w:type="dxa" w:w="1461"/>
            <w:vAlign w:val="center"/>
          </w:tcPr>
          <w:p>
            <w:r/>
            <w:r>
              <w:rPr>
                <w:b/>
                <w:color w:val="1F4E79"/>
                <w:sz w:val="14"/>
              </w:rPr>
              <w:t>Amadeus</w:t>
            </w:r>
          </w:p>
        </w:tc>
        <w:tc>
          <w:tcPr>
            <w:tcW w:type="dxa" w:w="1461"/>
            <w:vAlign w:val="center"/>
          </w:tcPr>
          <w:p>
            <w:r/>
            <w:r>
              <w:rPr>
                <w:b w:val="0"/>
                <w:sz w:val="14"/>
              </w:rPr>
              <w:t>Strong</w:t>
            </w:r>
          </w:p>
        </w:tc>
        <w:tc>
          <w:tcPr>
            <w:tcW w:type="dxa" w:w="1461"/>
            <w:vAlign w:val="center"/>
          </w:tcPr>
          <w:p>
            <w:r/>
            <w:r>
              <w:rPr>
                <w:b w:val="0"/>
                <w:sz w:val="14"/>
              </w:rPr>
              <w:t>Yes</w:t>
            </w:r>
          </w:p>
        </w:tc>
        <w:tc>
          <w:tcPr>
            <w:tcW w:type="dxa" w:w="1461"/>
            <w:vAlign w:val="center"/>
          </w:tcPr>
          <w:p>
            <w:r/>
            <w:r>
              <w:rPr>
                <w:b w:val="0"/>
                <w:sz w:val="14"/>
              </w:rPr>
              <w:t>Documented</w:t>
            </w:r>
          </w:p>
        </w:tc>
        <w:tc>
          <w:tcPr>
            <w:tcW w:type="dxa" w:w="1461"/>
            <w:vAlign w:val="center"/>
          </w:tcPr>
          <w:p>
            <w:r/>
            <w:r>
              <w:rPr>
                <w:b w:val="0"/>
                <w:sz w:val="14"/>
              </w:rPr>
              <w:t>To verify</w:t>
            </w:r>
          </w:p>
        </w:tc>
        <w:tc>
          <w:tcPr>
            <w:tcW w:type="dxa" w:w="1461"/>
            <w:vAlign w:val="center"/>
          </w:tcPr>
          <w:p>
            <w:r/>
            <w:r>
              <w:rPr>
                <w:b w:val="0"/>
                <w:sz w:val="14"/>
              </w:rPr>
              <w:t>Developer + enterprise APIs</w:t>
            </w:r>
          </w:p>
        </w:tc>
        <w:tc>
          <w:tcPr>
            <w:tcW w:type="dxa" w:w="1461"/>
            <w:vAlign w:val="center"/>
          </w:tcPr>
          <w:p>
            <w:r/>
            <w:r>
              <w:rPr>
                <w:b w:val="0"/>
                <w:sz w:val="14"/>
              </w:rPr>
              <w:t>Candidate</w:t>
            </w:r>
          </w:p>
        </w:tc>
      </w:tr>
      <w:tr>
        <w:trPr>
          <w:cantSplit/>
        </w:trPr>
        <w:tc>
          <w:tcPr>
            <w:tcW w:type="dxa" w:w="1461"/>
            <w:vAlign w:val="center"/>
          </w:tcPr>
          <w:p>
            <w:r/>
            <w:r>
              <w:rPr>
                <w:b/>
                <w:color w:val="1F4E79"/>
                <w:sz w:val="14"/>
              </w:rPr>
              <w:t>Duffel</w:t>
            </w:r>
          </w:p>
        </w:tc>
        <w:tc>
          <w:tcPr>
            <w:tcW w:type="dxa" w:w="1461"/>
            <w:vAlign w:val="center"/>
          </w:tcPr>
          <w:p>
            <w:r/>
            <w:r>
              <w:rPr>
                <w:b w:val="0"/>
                <w:sz w:val="14"/>
              </w:rPr>
              <w:t>Strong flight focus</w:t>
            </w:r>
          </w:p>
        </w:tc>
        <w:tc>
          <w:tcPr>
            <w:tcW w:type="dxa" w:w="1461"/>
            <w:vAlign w:val="center"/>
          </w:tcPr>
          <w:p>
            <w:r/>
            <w:r>
              <w:rPr>
                <w:b w:val="0"/>
                <w:sz w:val="14"/>
              </w:rPr>
              <w:t>Stays available</w:t>
            </w:r>
          </w:p>
        </w:tc>
        <w:tc>
          <w:tcPr>
            <w:tcW w:type="dxa" w:w="1461"/>
            <w:vAlign w:val="center"/>
          </w:tcPr>
          <w:p>
            <w:r/>
            <w:r>
              <w:rPr>
                <w:b w:val="0"/>
                <w:sz w:val="14"/>
              </w:rPr>
              <w:t>Documented</w:t>
            </w:r>
          </w:p>
        </w:tc>
        <w:tc>
          <w:tcPr>
            <w:tcW w:type="dxa" w:w="1461"/>
            <w:vAlign w:val="center"/>
          </w:tcPr>
          <w:p>
            <w:r/>
            <w:r>
              <w:rPr>
                <w:b w:val="0"/>
                <w:sz w:val="14"/>
              </w:rPr>
              <w:t>To verify</w:t>
            </w:r>
          </w:p>
        </w:tc>
        <w:tc>
          <w:tcPr>
            <w:tcW w:type="dxa" w:w="1461"/>
            <w:vAlign w:val="center"/>
          </w:tcPr>
          <w:p>
            <w:r/>
            <w:r>
              <w:rPr>
                <w:b w:val="0"/>
                <w:sz w:val="14"/>
              </w:rPr>
              <w:t>API-first</w:t>
            </w:r>
          </w:p>
        </w:tc>
        <w:tc>
          <w:tcPr>
            <w:tcW w:type="dxa" w:w="1461"/>
            <w:vAlign w:val="center"/>
          </w:tcPr>
          <w:p>
            <w:r/>
            <w:r>
              <w:rPr>
                <w:b w:val="0"/>
                <w:sz w:val="14"/>
              </w:rPr>
              <w:t>Candidate</w:t>
            </w:r>
          </w:p>
        </w:tc>
      </w:tr>
      <w:tr>
        <w:trPr>
          <w:cantSplit/>
        </w:trPr>
        <w:tc>
          <w:tcPr>
            <w:tcW w:type="dxa" w:w="1461"/>
            <w:vAlign w:val="center"/>
          </w:tcPr>
          <w:p>
            <w:r/>
            <w:r>
              <w:rPr>
                <w:b/>
                <w:color w:val="1F4E79"/>
                <w:sz w:val="14"/>
              </w:rPr>
              <w:t>TBO</w:t>
            </w:r>
          </w:p>
        </w:tc>
        <w:tc>
          <w:tcPr>
            <w:tcW w:type="dxa" w:w="1461"/>
            <w:vAlign w:val="center"/>
          </w:tcPr>
          <w:p>
            <w:r/>
            <w:r>
              <w:rPr>
                <w:b w:val="0"/>
                <w:sz w:val="14"/>
              </w:rPr>
              <w:t>Strong B2B focus</w:t>
            </w:r>
          </w:p>
        </w:tc>
        <w:tc>
          <w:tcPr>
            <w:tcW w:type="dxa" w:w="1461"/>
            <w:vAlign w:val="center"/>
          </w:tcPr>
          <w:p>
            <w:r/>
            <w:r>
              <w:rPr>
                <w:b w:val="0"/>
                <w:sz w:val="14"/>
              </w:rPr>
              <w:t>Yes</w:t>
            </w:r>
          </w:p>
        </w:tc>
        <w:tc>
          <w:tcPr>
            <w:tcW w:type="dxa" w:w="1461"/>
            <w:vAlign w:val="center"/>
          </w:tcPr>
          <w:p>
            <w:r/>
            <w:r>
              <w:rPr>
                <w:b w:val="0"/>
                <w:sz w:val="14"/>
              </w:rPr>
              <w:t>Real-time booking platform</w:t>
            </w:r>
          </w:p>
        </w:tc>
        <w:tc>
          <w:tcPr>
            <w:tcW w:type="dxa" w:w="1461"/>
            <w:vAlign w:val="center"/>
          </w:tcPr>
          <w:p>
            <w:r/>
            <w:r>
              <w:rPr>
                <w:b w:val="0"/>
                <w:sz w:val="14"/>
              </w:rPr>
              <w:t>High potential</w:t>
            </w:r>
          </w:p>
        </w:tc>
        <w:tc>
          <w:tcPr>
            <w:tcW w:type="dxa" w:w="1461"/>
            <w:vAlign w:val="center"/>
          </w:tcPr>
          <w:p>
            <w:r/>
            <w:r>
              <w:rPr>
                <w:b w:val="0"/>
                <w:sz w:val="14"/>
              </w:rPr>
              <w:t>B2B / travel platform</w:t>
            </w:r>
          </w:p>
        </w:tc>
        <w:tc>
          <w:tcPr>
            <w:tcW w:type="dxa" w:w="1461"/>
            <w:vAlign w:val="center"/>
          </w:tcPr>
          <w:p>
            <w:r/>
            <w:r>
              <w:rPr>
                <w:b w:val="0"/>
                <w:sz w:val="14"/>
              </w:rPr>
              <w:t>Candidate</w:t>
            </w:r>
          </w:p>
        </w:tc>
      </w:tr>
      <w:tr>
        <w:trPr>
          <w:cantSplit/>
        </w:trPr>
        <w:tc>
          <w:tcPr>
            <w:tcW w:type="dxa" w:w="1461"/>
            <w:vAlign w:val="center"/>
          </w:tcPr>
          <w:p>
            <w:r/>
            <w:r>
              <w:rPr>
                <w:b/>
                <w:color w:val="1F4E79"/>
                <w:sz w:val="14"/>
              </w:rPr>
              <w:t>TripJack</w:t>
            </w:r>
          </w:p>
        </w:tc>
        <w:tc>
          <w:tcPr>
            <w:tcW w:type="dxa" w:w="1461"/>
            <w:vAlign w:val="center"/>
          </w:tcPr>
          <w:p>
            <w:r/>
            <w:r>
              <w:rPr>
                <w:b w:val="0"/>
                <w:sz w:val="14"/>
              </w:rPr>
              <w:t>To verify</w:t>
            </w:r>
          </w:p>
        </w:tc>
        <w:tc>
          <w:tcPr>
            <w:tcW w:type="dxa" w:w="1461"/>
            <w:vAlign w:val="center"/>
          </w:tcPr>
          <w:p>
            <w:r/>
            <w:r>
              <w:rPr>
                <w:b w:val="0"/>
                <w:sz w:val="14"/>
              </w:rPr>
              <w:t>Strong documented hotel flow</w:t>
            </w:r>
          </w:p>
        </w:tc>
        <w:tc>
          <w:tcPr>
            <w:tcW w:type="dxa" w:w="1461"/>
            <w:vAlign w:val="center"/>
          </w:tcPr>
          <w:p>
            <w:r/>
            <w:r>
              <w:rPr>
                <w:b w:val="0"/>
                <w:sz w:val="14"/>
              </w:rPr>
              <w:t>Documented hotel flow</w:t>
            </w:r>
          </w:p>
        </w:tc>
        <w:tc>
          <w:tcPr>
            <w:tcW w:type="dxa" w:w="1461"/>
            <w:vAlign w:val="center"/>
          </w:tcPr>
          <w:p>
            <w:r/>
            <w:r>
              <w:rPr>
                <w:b w:val="0"/>
                <w:sz w:val="14"/>
              </w:rPr>
              <w:t>High potential</w:t>
            </w:r>
          </w:p>
        </w:tc>
        <w:tc>
          <w:tcPr>
            <w:tcW w:type="dxa" w:w="1461"/>
            <w:vAlign w:val="center"/>
          </w:tcPr>
          <w:p>
            <w:r/>
            <w:r>
              <w:rPr>
                <w:b w:val="0"/>
                <w:sz w:val="14"/>
              </w:rPr>
              <w:t>API partner model</w:t>
            </w:r>
          </w:p>
        </w:tc>
        <w:tc>
          <w:tcPr>
            <w:tcW w:type="dxa" w:w="1461"/>
            <w:vAlign w:val="center"/>
          </w:tcPr>
          <w:p>
            <w:r/>
            <w:r>
              <w:rPr>
                <w:b w:val="0"/>
                <w:sz w:val="14"/>
              </w:rPr>
              <w:t>Candidate</w:t>
            </w:r>
          </w:p>
        </w:tc>
      </w:tr>
      <w:tr>
        <w:trPr>
          <w:cantSplit/>
        </w:trPr>
        <w:tc>
          <w:tcPr>
            <w:tcW w:type="dxa" w:w="1461"/>
            <w:vAlign w:val="center"/>
          </w:tcPr>
          <w:p>
            <w:r/>
            <w:r>
              <w:rPr>
                <w:b/>
                <w:color w:val="1F4E79"/>
                <w:sz w:val="14"/>
              </w:rPr>
              <w:t>Hotelbeds</w:t>
            </w:r>
          </w:p>
        </w:tc>
        <w:tc>
          <w:tcPr>
            <w:tcW w:type="dxa" w:w="1461"/>
            <w:vAlign w:val="center"/>
          </w:tcPr>
          <w:p>
            <w:r/>
            <w:r>
              <w:rPr>
                <w:b w:val="0"/>
                <w:sz w:val="14"/>
              </w:rPr>
              <w:t>No (hotel specialist)</w:t>
            </w:r>
          </w:p>
        </w:tc>
        <w:tc>
          <w:tcPr>
            <w:tcW w:type="dxa" w:w="1461"/>
            <w:vAlign w:val="center"/>
          </w:tcPr>
          <w:p>
            <w:r/>
            <w:r>
              <w:rPr>
                <w:b w:val="0"/>
                <w:sz w:val="14"/>
              </w:rPr>
              <w:t>Strong</w:t>
            </w:r>
          </w:p>
        </w:tc>
        <w:tc>
          <w:tcPr>
            <w:tcW w:type="dxa" w:w="1461"/>
            <w:vAlign w:val="center"/>
          </w:tcPr>
          <w:p>
            <w:r/>
            <w:r>
              <w:rPr>
                <w:b w:val="0"/>
                <w:sz w:val="14"/>
              </w:rPr>
              <w:t>Documented</w:t>
            </w:r>
          </w:p>
        </w:tc>
        <w:tc>
          <w:tcPr>
            <w:tcW w:type="dxa" w:w="1461"/>
            <w:vAlign w:val="center"/>
          </w:tcPr>
          <w:p>
            <w:r/>
            <w:r>
              <w:rPr>
                <w:b w:val="0"/>
                <w:sz w:val="14"/>
              </w:rPr>
              <w:t>Global</w:t>
            </w:r>
          </w:p>
        </w:tc>
        <w:tc>
          <w:tcPr>
            <w:tcW w:type="dxa" w:w="1461"/>
            <w:vAlign w:val="center"/>
          </w:tcPr>
          <w:p>
            <w:r/>
            <w:r>
              <w:rPr>
                <w:b w:val="0"/>
                <w:sz w:val="14"/>
              </w:rPr>
              <w:t>Hotel specialist API</w:t>
            </w:r>
          </w:p>
        </w:tc>
        <w:tc>
          <w:tcPr>
            <w:tcW w:type="dxa" w:w="1461"/>
            <w:vAlign w:val="center"/>
          </w:tcPr>
          <w:p>
            <w:r/>
            <w:r>
              <w:rPr>
                <w:b w:val="0"/>
                <w:sz w:val="14"/>
              </w:rPr>
              <w:t>Candidate for hotels</w:t>
            </w:r>
          </w:p>
        </w:tc>
      </w:tr>
      <w:tr>
        <w:trPr>
          <w:cantSplit/>
        </w:trPr>
        <w:tc>
          <w:tcPr>
            <w:tcW w:type="dxa" w:w="1461"/>
            <w:vAlign w:val="center"/>
          </w:tcPr>
          <w:p>
            <w:r/>
            <w:r>
              <w:rPr>
                <w:b/>
                <w:color w:val="1F4E79"/>
                <w:sz w:val="14"/>
              </w:rPr>
              <w:t>Expedia Rapid</w:t>
            </w:r>
          </w:p>
        </w:tc>
        <w:tc>
          <w:tcPr>
            <w:tcW w:type="dxa" w:w="1461"/>
            <w:vAlign w:val="center"/>
          </w:tcPr>
          <w:p>
            <w:r/>
            <w:r>
              <w:rPr>
                <w:b w:val="0"/>
                <w:sz w:val="14"/>
              </w:rPr>
              <w:t>Flight API exists</w:t>
            </w:r>
          </w:p>
        </w:tc>
        <w:tc>
          <w:tcPr>
            <w:tcW w:type="dxa" w:w="1461"/>
            <w:vAlign w:val="center"/>
          </w:tcPr>
          <w:p>
            <w:r/>
            <w:r>
              <w:rPr>
                <w:b w:val="0"/>
                <w:sz w:val="14"/>
              </w:rPr>
              <w:t>Strong lodging</w:t>
            </w:r>
          </w:p>
        </w:tc>
        <w:tc>
          <w:tcPr>
            <w:tcW w:type="dxa" w:w="1461"/>
            <w:vAlign w:val="center"/>
          </w:tcPr>
          <w:p>
            <w:r/>
            <w:r>
              <w:rPr>
                <w:b w:val="0"/>
                <w:sz w:val="14"/>
              </w:rPr>
              <w:t>Documented lodging flow</w:t>
            </w:r>
          </w:p>
        </w:tc>
        <w:tc>
          <w:tcPr>
            <w:tcW w:type="dxa" w:w="1461"/>
            <w:vAlign w:val="center"/>
          </w:tcPr>
          <w:p>
            <w:r/>
            <w:r>
              <w:rPr>
                <w:b w:val="0"/>
                <w:sz w:val="14"/>
              </w:rPr>
              <w:t>To verify</w:t>
            </w:r>
          </w:p>
        </w:tc>
        <w:tc>
          <w:tcPr>
            <w:tcW w:type="dxa" w:w="1461"/>
            <w:vAlign w:val="center"/>
          </w:tcPr>
          <w:p>
            <w:r/>
            <w:r>
              <w:rPr>
                <w:b w:val="0"/>
                <w:sz w:val="14"/>
              </w:rPr>
              <w:t>API-first lodging / broader Rapid suite</w:t>
            </w:r>
          </w:p>
        </w:tc>
        <w:tc>
          <w:tcPr>
            <w:tcW w:type="dxa" w:w="1461"/>
            <w:vAlign w:val="center"/>
          </w:tcPr>
          <w:p>
            <w:r/>
            <w:r>
              <w:rPr>
                <w:b w:val="0"/>
                <w:sz w:val="14"/>
              </w:rPr>
              <w:t>Candidate</w:t>
            </w:r>
          </w:p>
        </w:tc>
      </w:tr>
    </w:tbl>
    <w:p>
      <w:pPr>
        <w:pStyle w:val="Heading1"/>
      </w:pPr>
      <w:r>
        <w:t>7. Recommended Architecture Options for Planning</w:t>
      </w:r>
    </w:p>
    <w:p>
      <w:pPr>
        <w:pStyle w:val="Heading2"/>
      </w:pPr>
      <w:r>
        <w:t>Option A — Single aggregator / one primary supplier</w:t>
      </w:r>
    </w:p>
    <w:p>
      <w:r>
        <w:t>Use one provider for most travel supply and build the full customer journey around that provider.</w:t>
      </w:r>
    </w:p>
    <w:p>
      <w:pPr>
        <w:pStyle w:val="ListBullet"/>
        <w:spacing w:after="60"/>
      </w:pPr>
      <w:r>
        <w:t>Advantages: lower initial integration effort; simpler reconciliation and operations.</w:t>
      </w:r>
    </w:p>
    <w:p>
      <w:pPr>
        <w:pStyle w:val="ListBullet"/>
        <w:spacing w:after="60"/>
      </w:pPr>
      <w:r>
        <w:t>Risks: supplier lock-in, outages affecting the entire booking journey, potentially less control over fare/hotel content and commercial margins.</w:t>
      </w:r>
    </w:p>
    <w:p>
      <w:pPr>
        <w:pStyle w:val="Heading2"/>
      </w:pPr>
      <w:r>
        <w:t>Option B — Multi-supplier hybrid</w:t>
      </w:r>
    </w:p>
    <w:p>
      <w:r>
        <w:t>Use a primary travel aggregator plus a specialist or secondary supplier for a critical vertical such as hotels or flights.</w:t>
      </w:r>
    </w:p>
    <w:p>
      <w:pPr>
        <w:pStyle w:val="ListBullet"/>
        <w:spacing w:after="60"/>
      </w:pPr>
      <w:r>
        <w:t>Advantages: better resilience, additional inventory, ability to optimize price/content by supplier.</w:t>
      </w:r>
    </w:p>
    <w:p>
      <w:pPr>
        <w:pStyle w:val="ListBullet"/>
        <w:spacing w:after="60"/>
      </w:pPr>
      <w:r>
        <w:t>Risks: more complex normalization, duplicate inventory, reconciliation and post-booking orchestration.</w:t>
      </w:r>
    </w:p>
    <w:p>
      <w:pPr>
        <w:pStyle w:val="Heading2"/>
      </w:pPr>
      <w:r>
        <w:t>Option C — Internal booking abstraction layer</w:t>
      </w:r>
    </w:p>
    <w:p>
      <w:r>
        <w:t>Regardless of supplier choice, create an internal adapter layer that converts supplier-specific search, pricing, booking and cancellation objects into a common internal schema.</w:t>
      </w:r>
    </w:p>
    <w:p>
      <w:pPr>
        <w:pStyle w:val="ListBullet"/>
        <w:spacing w:after="60"/>
      </w:pPr>
      <w:r>
        <w:t>This is the preferred long-term architecture if the project may add suppliers later.</w:t>
      </w:r>
    </w:p>
    <w:p>
      <w:pPr>
        <w:pStyle w:val="ListBullet"/>
        <w:spacing w:after="60"/>
      </w:pPr>
      <w:r>
        <w:t>Customer-facing modules should depend on internal objects such as FlightOffer, HotelOffer, Booking, Passenger, Payment, CancellationPolicy and SupplierReference—not vendor-specific JSON.</w:t>
      </w:r>
    </w:p>
    <w:p>
      <w:pPr>
        <w:pStyle w:val="Heading1"/>
      </w:pPr>
      <w:r>
        <w:t>8. Vendor Due-Diligence Checklist</w:t>
      </w:r>
    </w:p>
    <w:p>
      <w:pPr>
        <w:pStyle w:val="ListBullet"/>
        <w:spacing w:after="60"/>
      </w:pPr>
      <w:r>
        <w:t>One-time setup/API fee and taxes</w:t>
      </w:r>
    </w:p>
    <w:p>
      <w:pPr>
        <w:pStyle w:val="ListBullet"/>
        <w:spacing w:after="60"/>
      </w:pPr>
      <w:r>
        <w:t>Annual maintenance / subscription fee</w:t>
      </w:r>
    </w:p>
    <w:p>
      <w:pPr>
        <w:pStyle w:val="ListBullet"/>
        <w:spacing w:after="60"/>
      </w:pPr>
      <w:r>
        <w:t>Per-search, per-booking, per-ticket or per-transaction charges</w:t>
      </w:r>
    </w:p>
    <w:p>
      <w:pPr>
        <w:pStyle w:val="ListBullet"/>
        <w:spacing w:after="60"/>
      </w:pPr>
      <w:r>
        <w:t>Wallet / deposit / security balance requirements</w:t>
      </w:r>
    </w:p>
    <w:p>
      <w:pPr>
        <w:pStyle w:val="ListBullet"/>
        <w:spacing w:after="60"/>
      </w:pPr>
      <w:r>
        <w:t>Credit line availability and settlement terms</w:t>
      </w:r>
    </w:p>
    <w:p>
      <w:pPr>
        <w:pStyle w:val="ListBullet"/>
        <w:spacing w:after="60"/>
      </w:pPr>
      <w:r>
        <w:t>Markup rules and whether supplier rates may be marked up</w:t>
      </w:r>
    </w:p>
    <w:p>
      <w:pPr>
        <w:pStyle w:val="ListBullet"/>
        <w:spacing w:after="60"/>
      </w:pPr>
      <w:r>
        <w:t>Payment gateway responsibility and settlement sequence</w:t>
      </w:r>
    </w:p>
    <w:p>
      <w:pPr>
        <w:pStyle w:val="ListBullet"/>
        <w:spacing w:after="60"/>
      </w:pPr>
      <w:r>
        <w:t>Flight ticket issuance model and who is the merchant of record / ticketing entity</w:t>
      </w:r>
    </w:p>
    <w:p>
      <w:pPr>
        <w:pStyle w:val="ListBullet"/>
        <w:spacing w:after="60"/>
      </w:pPr>
      <w:r>
        <w:t>GDS / NDC / LCC coverage for required markets</w:t>
      </w:r>
    </w:p>
    <w:p>
      <w:pPr>
        <w:pStyle w:val="ListBullet"/>
        <w:spacing w:after="60"/>
      </w:pPr>
      <w:r>
        <w:t>Hotel supplier coverage, room mapping and rate revalidation</w:t>
      </w:r>
    </w:p>
    <w:p>
      <w:pPr>
        <w:pStyle w:val="ListBullet"/>
        <w:spacing w:after="60"/>
      </w:pPr>
      <w:r>
        <w:t>Cancellation, refund, exchange and amendment APIs</w:t>
      </w:r>
    </w:p>
    <w:p>
      <w:pPr>
        <w:pStyle w:val="ListBullet"/>
        <w:spacing w:after="60"/>
      </w:pPr>
      <w:r>
        <w:t>Booking status and reconciliation APIs/webhooks</w:t>
      </w:r>
    </w:p>
    <w:p>
      <w:pPr>
        <w:pStyle w:val="ListBullet"/>
        <w:spacing w:after="60"/>
      </w:pPr>
      <w:r>
        <w:t>Invoice/voucher generation</w:t>
      </w:r>
    </w:p>
    <w:p>
      <w:pPr>
        <w:pStyle w:val="ListBullet"/>
        <w:spacing w:after="60"/>
      </w:pPr>
      <w:r>
        <w:t>Sandbox credentials and production UAT/certification process</w:t>
      </w:r>
    </w:p>
    <w:p>
      <w:pPr>
        <w:pStyle w:val="ListBullet"/>
        <w:spacing w:after="60"/>
      </w:pPr>
      <w:r>
        <w:t>API rate limits, concurrency and timeout expectations</w:t>
      </w:r>
    </w:p>
    <w:p>
      <w:pPr>
        <w:pStyle w:val="ListBullet"/>
        <w:spacing w:after="60"/>
      </w:pPr>
      <w:r>
        <w:t>SLA, support hours, escalation mechanism and technical support</w:t>
      </w:r>
    </w:p>
    <w:p>
      <w:pPr>
        <w:pStyle w:val="ListBullet"/>
        <w:spacing w:after="60"/>
      </w:pPr>
      <w:r>
        <w:t>Data retention, security requirements and PCI implications</w:t>
      </w:r>
    </w:p>
    <w:p>
      <w:pPr>
        <w:pStyle w:val="ListBullet"/>
        <w:spacing w:after="60"/>
      </w:pPr>
      <w:r>
        <w:t>Commercial restrictions by geography, B2B/B2C model or website type</w:t>
      </w:r>
    </w:p>
    <w:p>
      <w:pPr>
        <w:pStyle w:val="ListBullet"/>
        <w:spacing w:after="60"/>
      </w:pPr>
      <w:r>
        <w:t>Contract termination and treatment of unused wallet/deposit balances</w:t>
      </w:r>
    </w:p>
    <w:p>
      <w:pPr>
        <w:pStyle w:val="Heading1"/>
      </w:pPr>
      <w:r>
        <w:t>9. Development Planning Implications</w:t>
      </w:r>
    </w:p>
    <w:p>
      <w:r>
        <w:t>The API decision should be made before the booking core is deeply implemented, but frontend UX and internal data models can be designed in parallel. The project should be planned in phases rather than waiting for a provider decision to begin all work.</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
              <w:rPr>
                <w:b/>
                <w:color w:val="FFFFFF"/>
                <w:sz w:val="18"/>
              </w:rPr>
              <w:t>Phase</w:t>
            </w:r>
          </w:p>
        </w:tc>
        <w:tc>
          <w:tcPr>
            <w:tcW w:type="dxa" w:w="5112"/>
            <w:shd w:fill="1F4E79"/>
            <w:vAlign w:val="center"/>
          </w:tcPr>
          <w:p>
            <w:r/>
            <w:r>
              <w:rPr>
                <w:b/>
                <w:color w:val="FFFFFF"/>
                <w:sz w:val="18"/>
              </w:rPr>
              <w:t>Scope</w:t>
            </w:r>
          </w:p>
        </w:tc>
      </w:tr>
      <w:tr>
        <w:trPr>
          <w:cantSplit/>
        </w:trPr>
        <w:tc>
          <w:tcPr>
            <w:tcW w:type="dxa" w:w="5112"/>
            <w:vAlign w:val="center"/>
          </w:tcPr>
          <w:p>
            <w:r/>
            <w:r>
              <w:rPr>
                <w:b/>
                <w:color w:val="1F4E79"/>
                <w:sz w:val="17"/>
              </w:rPr>
              <w:t>Phase 0 — R&amp;D &amp; vendor selection</w:t>
            </w:r>
          </w:p>
        </w:tc>
        <w:tc>
          <w:tcPr>
            <w:tcW w:type="dxa" w:w="5112"/>
            <w:vAlign w:val="center"/>
          </w:tcPr>
          <w:p>
            <w:r/>
            <w:r>
              <w:rPr>
                <w:b w:val="0"/>
                <w:sz w:val="17"/>
              </w:rPr>
              <w:t>Finalize requirements; collect vendor responses; compare booking capability and commercials; select primary and fallback supplier.</w:t>
            </w:r>
          </w:p>
        </w:tc>
      </w:tr>
      <w:tr>
        <w:trPr>
          <w:cantSplit/>
        </w:trPr>
        <w:tc>
          <w:tcPr>
            <w:tcW w:type="dxa" w:w="5112"/>
            <w:vAlign w:val="center"/>
          </w:tcPr>
          <w:p>
            <w:r/>
            <w:r>
              <w:rPr>
                <w:b/>
                <w:color w:val="1F4E79"/>
                <w:sz w:val="17"/>
              </w:rPr>
              <w:t>Phase 1 — Solution design</w:t>
            </w:r>
          </w:p>
        </w:tc>
        <w:tc>
          <w:tcPr>
            <w:tcW w:type="dxa" w:w="5112"/>
            <w:vAlign w:val="center"/>
          </w:tcPr>
          <w:p>
            <w:r/>
            <w:r>
              <w:rPr>
                <w:b w:val="0"/>
                <w:sz w:val="17"/>
              </w:rPr>
              <w:t>Define architecture, normalized travel models, payment flow, markup engine, admin operations and audit model.</w:t>
            </w:r>
          </w:p>
        </w:tc>
      </w:tr>
      <w:tr>
        <w:trPr>
          <w:cantSplit/>
        </w:trPr>
        <w:tc>
          <w:tcPr>
            <w:tcW w:type="dxa" w:w="5112"/>
            <w:vAlign w:val="center"/>
          </w:tcPr>
          <w:p>
            <w:r/>
            <w:r>
              <w:rPr>
                <w:b/>
                <w:color w:val="1F4E79"/>
                <w:sz w:val="17"/>
              </w:rPr>
              <w:t>Phase 2 — Supplier integration</w:t>
            </w:r>
          </w:p>
        </w:tc>
        <w:tc>
          <w:tcPr>
            <w:tcW w:type="dxa" w:w="5112"/>
            <w:vAlign w:val="center"/>
          </w:tcPr>
          <w:p>
            <w:r/>
            <w:r>
              <w:rPr>
                <w:b w:val="0"/>
                <w:sz w:val="17"/>
              </w:rPr>
              <w:t>Implement sandbox integration, search, details, revalidation, booking, cancellation and booking-status retrieval.</w:t>
            </w:r>
          </w:p>
        </w:tc>
      </w:tr>
      <w:tr>
        <w:trPr>
          <w:cantSplit/>
        </w:trPr>
        <w:tc>
          <w:tcPr>
            <w:tcW w:type="dxa" w:w="5112"/>
            <w:vAlign w:val="center"/>
          </w:tcPr>
          <w:p>
            <w:r/>
            <w:r>
              <w:rPr>
                <w:b/>
                <w:color w:val="1F4E79"/>
                <w:sz w:val="17"/>
              </w:rPr>
              <w:t>Phase 3 — Platform build</w:t>
            </w:r>
          </w:p>
        </w:tc>
        <w:tc>
          <w:tcPr>
            <w:tcW w:type="dxa" w:w="5112"/>
            <w:vAlign w:val="center"/>
          </w:tcPr>
          <w:p>
            <w:r/>
            <w:r>
              <w:rPr>
                <w:b w:val="0"/>
                <w:sz w:val="17"/>
              </w:rPr>
              <w:t>Customer UI, user accounts, checkout, payment gateway, notifications, invoices/vouchers, admin portal and reporting.</w:t>
            </w:r>
          </w:p>
        </w:tc>
      </w:tr>
      <w:tr>
        <w:trPr>
          <w:cantSplit/>
        </w:trPr>
        <w:tc>
          <w:tcPr>
            <w:tcW w:type="dxa" w:w="5112"/>
            <w:vAlign w:val="center"/>
          </w:tcPr>
          <w:p>
            <w:r/>
            <w:r>
              <w:rPr>
                <w:b/>
                <w:color w:val="1F4E79"/>
                <w:sz w:val="17"/>
              </w:rPr>
              <w:t>Phase 4 — UAT &amp; production</w:t>
            </w:r>
          </w:p>
        </w:tc>
        <w:tc>
          <w:tcPr>
            <w:tcW w:type="dxa" w:w="5112"/>
            <w:vAlign w:val="center"/>
          </w:tcPr>
          <w:p>
            <w:r/>
            <w:r>
              <w:rPr>
                <w:b w:val="0"/>
                <w:sz w:val="17"/>
              </w:rPr>
              <w:t>Supplier certification, test scenarios, failed-booking handling, refund tests, reconciliation, security review and go-live.</w:t>
            </w:r>
          </w:p>
        </w:tc>
      </w:tr>
      <w:tr>
        <w:trPr>
          <w:cantSplit/>
        </w:trPr>
        <w:tc>
          <w:tcPr>
            <w:tcW w:type="dxa" w:w="5112"/>
            <w:vAlign w:val="center"/>
          </w:tcPr>
          <w:p>
            <w:r/>
            <w:r>
              <w:rPr>
                <w:b/>
                <w:color w:val="1F4E79"/>
                <w:sz w:val="17"/>
              </w:rPr>
              <w:t>Phase 5 — Optimization</w:t>
            </w:r>
          </w:p>
        </w:tc>
        <w:tc>
          <w:tcPr>
            <w:tcW w:type="dxa" w:w="5112"/>
            <w:vAlign w:val="center"/>
          </w:tcPr>
          <w:p>
            <w:r/>
            <w:r>
              <w:rPr>
                <w:b w:val="0"/>
                <w:sz w:val="17"/>
              </w:rPr>
              <w:t>Add second supplier where justified, price/inventory comparison, caching, observability, analytics and operational automation.</w:t>
            </w:r>
          </w:p>
        </w:tc>
      </w:tr>
    </w:tbl>
    <w:p>
      <w:pPr>
        <w:pStyle w:val="Heading1"/>
      </w:pPr>
      <w:r>
        <w:t>10. Key Risks &amp; Mitigations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9"/>
            <w:vAlign w:val="center"/>
          </w:tcPr>
          <w:p>
            <w:r/>
            <w:r>
              <w:rPr>
                <w:b/>
                <w:color w:val="FFFFFF"/>
                <w:sz w:val="17"/>
              </w:rPr>
              <w:t>Risk</w:t>
            </w:r>
          </w:p>
        </w:tc>
        <w:tc>
          <w:tcPr>
            <w:tcW w:type="dxa" w:w="3408"/>
            <w:shd w:fill="1F4E79"/>
            <w:vAlign w:val="center"/>
          </w:tcPr>
          <w:p>
            <w:r/>
            <w:r>
              <w:rPr>
                <w:b/>
                <w:color w:val="FFFFFF"/>
                <w:sz w:val="17"/>
              </w:rPr>
              <w:t>Impact / issue</w:t>
            </w:r>
          </w:p>
        </w:tc>
        <w:tc>
          <w:tcPr>
            <w:tcW w:type="dxa" w:w="3408"/>
            <w:shd w:fill="1F4E79"/>
            <w:vAlign w:val="center"/>
          </w:tcPr>
          <w:p>
            <w:r/>
            <w:r>
              <w:rPr>
                <w:b/>
                <w:color w:val="FFFFFF"/>
                <w:sz w:val="17"/>
              </w:rPr>
              <w:t>Mitigation</w:t>
            </w:r>
          </w:p>
        </w:tc>
      </w:tr>
      <w:tr>
        <w:trPr>
          <w:cantSplit/>
        </w:trPr>
        <w:tc>
          <w:tcPr>
            <w:tcW w:type="dxa" w:w="3408"/>
            <w:vAlign w:val="center"/>
          </w:tcPr>
          <w:p>
            <w:r/>
            <w:r>
              <w:rPr>
                <w:b/>
                <w:color w:val="1F4E79"/>
                <w:sz w:val="16"/>
              </w:rPr>
              <w:t>Supplier selection too early</w:t>
            </w:r>
          </w:p>
        </w:tc>
        <w:tc>
          <w:tcPr>
            <w:tcW w:type="dxa" w:w="3408"/>
            <w:vAlign w:val="center"/>
          </w:tcPr>
          <w:p>
            <w:r/>
            <w:r>
              <w:rPr>
                <w:b w:val="0"/>
                <w:sz w:val="16"/>
              </w:rPr>
              <w:t>Locking development to the first API that replies can create rework.</w:t>
            </w:r>
          </w:p>
        </w:tc>
        <w:tc>
          <w:tcPr>
            <w:tcW w:type="dxa" w:w="3408"/>
            <w:vAlign w:val="center"/>
          </w:tcPr>
          <w:p>
            <w:r/>
            <w:r>
              <w:rPr>
                <w:b w:val="0"/>
                <w:sz w:val="16"/>
              </w:rPr>
              <w:t>Keep provider adapter boundaries and wait for commercial/technical confirmation.</w:t>
            </w:r>
          </w:p>
        </w:tc>
      </w:tr>
      <w:tr>
        <w:trPr>
          <w:cantSplit/>
        </w:trPr>
        <w:tc>
          <w:tcPr>
            <w:tcW w:type="dxa" w:w="3408"/>
            <w:vAlign w:val="center"/>
          </w:tcPr>
          <w:p>
            <w:r/>
            <w:r>
              <w:rPr>
                <w:b/>
                <w:color w:val="1F4E79"/>
                <w:sz w:val="16"/>
              </w:rPr>
              <w:t>Price changes after search</w:t>
            </w:r>
          </w:p>
        </w:tc>
        <w:tc>
          <w:tcPr>
            <w:tcW w:type="dxa" w:w="3408"/>
            <w:vAlign w:val="center"/>
          </w:tcPr>
          <w:p>
            <w:r/>
            <w:r>
              <w:rPr>
                <w:b w:val="0"/>
                <w:sz w:val="16"/>
              </w:rPr>
              <w:t>Customer may see a different rate when booking.</w:t>
            </w:r>
          </w:p>
        </w:tc>
        <w:tc>
          <w:tcPr>
            <w:tcW w:type="dxa" w:w="3408"/>
            <w:vAlign w:val="center"/>
          </w:tcPr>
          <w:p>
            <w:r/>
            <w:r>
              <w:rPr>
                <w:b w:val="0"/>
                <w:sz w:val="16"/>
              </w:rPr>
              <w:t>Require supplier revalidation/recheck before payment or booking.</w:t>
            </w:r>
          </w:p>
        </w:tc>
      </w:tr>
      <w:tr>
        <w:trPr>
          <w:cantSplit/>
        </w:trPr>
        <w:tc>
          <w:tcPr>
            <w:tcW w:type="dxa" w:w="3408"/>
            <w:vAlign w:val="center"/>
          </w:tcPr>
          <w:p>
            <w:r/>
            <w:r>
              <w:rPr>
                <w:b/>
                <w:color w:val="1F4E79"/>
                <w:sz w:val="16"/>
              </w:rPr>
              <w:t>Booking succeeds but payment callback fails</w:t>
            </w:r>
          </w:p>
        </w:tc>
        <w:tc>
          <w:tcPr>
            <w:tcW w:type="dxa" w:w="3408"/>
            <w:vAlign w:val="center"/>
          </w:tcPr>
          <w:p>
            <w:r/>
            <w:r>
              <w:rPr>
                <w:b w:val="0"/>
                <w:sz w:val="16"/>
              </w:rPr>
              <w:t>Creates financial/reconciliation disputes.</w:t>
            </w:r>
          </w:p>
        </w:tc>
        <w:tc>
          <w:tcPr>
            <w:tcW w:type="dxa" w:w="3408"/>
            <w:vAlign w:val="center"/>
          </w:tcPr>
          <w:p>
            <w:r/>
            <w:r>
              <w:rPr>
                <w:b w:val="0"/>
                <w:sz w:val="16"/>
              </w:rPr>
              <w:t>Design idempotency, asynchronous status checks and a failed-booking operations queue.</w:t>
            </w:r>
          </w:p>
        </w:tc>
      </w:tr>
      <w:tr>
        <w:trPr>
          <w:cantSplit/>
        </w:trPr>
        <w:tc>
          <w:tcPr>
            <w:tcW w:type="dxa" w:w="3408"/>
            <w:vAlign w:val="center"/>
          </w:tcPr>
          <w:p>
            <w:r/>
            <w:r>
              <w:rPr>
                <w:b/>
                <w:color w:val="1F4E79"/>
                <w:sz w:val="16"/>
              </w:rPr>
              <w:t>Cancellation/refund limitations</w:t>
            </w:r>
          </w:p>
        </w:tc>
        <w:tc>
          <w:tcPr>
            <w:tcW w:type="dxa" w:w="3408"/>
            <w:vAlign w:val="center"/>
          </w:tcPr>
          <w:p>
            <w:r/>
            <w:r>
              <w:rPr>
                <w:b w:val="0"/>
                <w:sz w:val="16"/>
              </w:rPr>
              <w:t>Customer promises may exceed supplier capabilities.</w:t>
            </w:r>
          </w:p>
        </w:tc>
        <w:tc>
          <w:tcPr>
            <w:tcW w:type="dxa" w:w="3408"/>
            <w:vAlign w:val="center"/>
          </w:tcPr>
          <w:p>
            <w:r/>
            <w:r>
              <w:rPr>
                <w:b w:val="0"/>
                <w:sz w:val="16"/>
              </w:rPr>
              <w:t>Document each supplier’s post-booking capabilities before UX sign-off.</w:t>
            </w:r>
          </w:p>
        </w:tc>
      </w:tr>
      <w:tr>
        <w:trPr>
          <w:cantSplit/>
        </w:trPr>
        <w:tc>
          <w:tcPr>
            <w:tcW w:type="dxa" w:w="3408"/>
            <w:vAlign w:val="center"/>
          </w:tcPr>
          <w:p>
            <w:r/>
            <w:r>
              <w:rPr>
                <w:b/>
                <w:color w:val="1F4E79"/>
                <w:sz w:val="16"/>
              </w:rPr>
              <w:t>Supplier outage</w:t>
            </w:r>
          </w:p>
        </w:tc>
        <w:tc>
          <w:tcPr>
            <w:tcW w:type="dxa" w:w="3408"/>
            <w:vAlign w:val="center"/>
          </w:tcPr>
          <w:p>
            <w:r/>
            <w:r>
              <w:rPr>
                <w:b w:val="0"/>
                <w:sz w:val="16"/>
              </w:rPr>
              <w:t>Single-provider architecture can stop bookings.</w:t>
            </w:r>
          </w:p>
        </w:tc>
        <w:tc>
          <w:tcPr>
            <w:tcW w:type="dxa" w:w="3408"/>
            <w:vAlign w:val="center"/>
          </w:tcPr>
          <w:p>
            <w:r/>
            <w:r>
              <w:rPr>
                <w:b w:val="0"/>
                <w:sz w:val="16"/>
              </w:rPr>
              <w:t>Plan observability and an optional secondary supplier path.</w:t>
            </w:r>
          </w:p>
        </w:tc>
      </w:tr>
      <w:tr>
        <w:trPr>
          <w:cantSplit/>
        </w:trPr>
        <w:tc>
          <w:tcPr>
            <w:tcW w:type="dxa" w:w="3408"/>
            <w:vAlign w:val="center"/>
          </w:tcPr>
          <w:p>
            <w:r/>
            <w:r>
              <w:rPr>
                <w:b/>
                <w:color w:val="1F4E79"/>
                <w:sz w:val="16"/>
              </w:rPr>
              <w:t>Wallet/settlement exposure</w:t>
            </w:r>
          </w:p>
        </w:tc>
        <w:tc>
          <w:tcPr>
            <w:tcW w:type="dxa" w:w="3408"/>
            <w:vAlign w:val="center"/>
          </w:tcPr>
          <w:p>
            <w:r/>
            <w:r>
              <w:rPr>
                <w:b w:val="0"/>
                <w:sz w:val="16"/>
              </w:rPr>
              <w:t>Large deposits can tie up working capital.</w:t>
            </w:r>
          </w:p>
        </w:tc>
        <w:tc>
          <w:tcPr>
            <w:tcW w:type="dxa" w:w="3408"/>
            <w:vAlign w:val="center"/>
          </w:tcPr>
          <w:p>
            <w:r/>
            <w:r>
              <w:rPr>
                <w:b w:val="0"/>
                <w:sz w:val="16"/>
              </w:rPr>
              <w:t>Model minimum operational balance and refund exposure before contract signature.</w:t>
            </w:r>
          </w:p>
        </w:tc>
      </w:tr>
      <w:tr>
        <w:trPr>
          <w:cantSplit/>
        </w:trPr>
        <w:tc>
          <w:tcPr>
            <w:tcW w:type="dxa" w:w="3408"/>
            <w:vAlign w:val="center"/>
          </w:tcPr>
          <w:p>
            <w:r/>
            <w:r>
              <w:rPr>
                <w:b/>
                <w:color w:val="1F4E79"/>
                <w:sz w:val="16"/>
              </w:rPr>
              <w:t>Credential exposure</w:t>
            </w:r>
          </w:p>
        </w:tc>
        <w:tc>
          <w:tcPr>
            <w:tcW w:type="dxa" w:w="3408"/>
            <w:vAlign w:val="center"/>
          </w:tcPr>
          <w:p>
            <w:r/>
            <w:r>
              <w:rPr>
                <w:b w:val="0"/>
                <w:sz w:val="16"/>
              </w:rPr>
              <w:t>API keys or demo credentials can be leaked.</w:t>
            </w:r>
          </w:p>
        </w:tc>
        <w:tc>
          <w:tcPr>
            <w:tcW w:type="dxa" w:w="3408"/>
            <w:vAlign w:val="center"/>
          </w:tcPr>
          <w:p>
            <w:r/>
            <w:r>
              <w:rPr>
                <w:b w:val="0"/>
                <w:sz w:val="16"/>
              </w:rPr>
              <w:t>Use environment secrets, server-side calls and immediate credential rotation if shared externally.</w:t>
            </w:r>
          </w:p>
        </w:tc>
      </w:tr>
    </w:tbl>
    <w:p>
      <w:pPr>
        <w:pStyle w:val="Heading1"/>
      </w:pPr>
      <w:r>
        <w:t>11. Current Planning Recommendation</w:t>
      </w:r>
    </w:p>
    <w:p>
      <w:r>
        <w:t>At this stage, the recommended decision is not “choose Provider X.” The recommended decision is to complete a controlled vendor evaluation and design the application so the supplier can be swapped without rebuilding the customer experience.</w:t>
      </w:r>
    </w:p>
    <w:p>
      <w:pPr>
        <w:pStyle w:val="ListNumber"/>
        <w:spacing w:after="60"/>
      </w:pPr>
      <w:r>
        <w:t>Keep Trawex and Ebix / Via.com in the active evaluation set because both have returned commercial information.</w:t>
      </w:r>
    </w:p>
    <w:p>
      <w:pPr>
        <w:pStyle w:val="ListNumber"/>
        <w:spacing w:after="60"/>
      </w:pPr>
      <w:r>
        <w:t>Follow up with the remaining vendors specifically for complete booking lifecycle capability, commercial terms and production onboarding requirements.</w:t>
      </w:r>
    </w:p>
    <w:p>
      <w:pPr>
        <w:pStyle w:val="ListNumber"/>
        <w:spacing w:after="60"/>
      </w:pPr>
      <w:r>
        <w:t>Run a technical proof-of-concept against at least one flight flow and one hotel flow before committing to the production architecture.</w:t>
      </w:r>
    </w:p>
    <w:p>
      <w:pPr>
        <w:pStyle w:val="ListNumber"/>
        <w:spacing w:after="60"/>
      </w:pPr>
      <w:r>
        <w:t>Create a normalized internal booking layer so a second supplier can be introduced later.</w:t>
      </w:r>
    </w:p>
    <w:p>
      <w:pPr>
        <w:pStyle w:val="ListNumber"/>
        <w:spacing w:after="60"/>
      </w:pPr>
      <w:r>
        <w:t>Do not include supplier demo credentials in client-facing reports, source code repositories or tickets; use environment-specific secrets.</w:t>
      </w:r>
    </w:p>
    <w:p>
      <w:pPr>
        <w:pStyle w:val="ListNumber"/>
        <w:spacing w:after="60"/>
      </w:pPr>
      <w:r>
        <w:t>Prepare the client quote only after the primary supplier’s total first-year cost, mandatory deposit/credit requirement, transaction charges and post-booking responsibilities are known.</w:t>
      </w:r>
    </w:p>
    <w:p>
      <w:pPr>
        <w:pStyle w:val="Heading1"/>
      </w:pPr>
      <w:r>
        <w:t>12. Decision Gates Before Development Commitment</w:t>
      </w:r>
    </w:p>
    <w:p>
      <w:pPr>
        <w:pStyle w:val="ListBullet"/>
        <w:spacing w:after="60"/>
      </w:pPr>
      <w:r>
        <w:t>Gate 1 — Functional fit: Required flight/hotel booking lifecycle demonstrated.</w:t>
      </w:r>
    </w:p>
    <w:p>
      <w:pPr>
        <w:pStyle w:val="ListBullet"/>
        <w:spacing w:after="60"/>
      </w:pPr>
      <w:r>
        <w:t>Gate 2 — Commercial fit: Total first-year and ongoing cost understood.</w:t>
      </w:r>
    </w:p>
    <w:p>
      <w:pPr>
        <w:pStyle w:val="ListBullet"/>
        <w:spacing w:after="60"/>
      </w:pPr>
      <w:r>
        <w:t>Gate 3 — Operational fit: Cancellation, refund, support and reconciliation responsibilities clear.</w:t>
      </w:r>
    </w:p>
    <w:p>
      <w:pPr>
        <w:pStyle w:val="ListBullet"/>
        <w:spacing w:after="60"/>
      </w:pPr>
      <w:r>
        <w:t>Gate 4 — Technical fit: Sandbox integration is successful and API limitations are acceptable.</w:t>
      </w:r>
    </w:p>
    <w:p>
      <w:pPr>
        <w:pStyle w:val="ListBullet"/>
        <w:spacing w:after="60"/>
      </w:pPr>
      <w:r>
        <w:t>Gate 5 — Production readiness: Contract, credentials, UAT/certification and go-live process confirmed.</w:t>
      </w:r>
    </w:p>
    <w:p>
      <w:pPr>
        <w:pStyle w:val="ListBullet"/>
        <w:spacing w:after="60"/>
      </w:pPr>
      <w:r>
        <w:t>Gate 6 — Architecture fit: Supplier adapter does not create avoidable lock-in and a secondary route remains feasible.</w:t>
      </w:r>
    </w:p>
    <w:p>
      <w:pPr>
        <w:pStyle w:val="Heading1"/>
      </w:pPr>
      <w:r>
        <w:t>13. Research Sources &amp; Verification Notes</w:t>
      </w:r>
    </w:p>
    <w:p>
      <w:r>
        <w:t>The following sources were reviewed as current official/first-party documentation or provider material while preparing this planning report. Commercial terms still require direct written confirmation from the vendors because public developer documentation does not necessarily state partner-specific pricing.</w:t>
      </w:r>
    </w:p>
    <w:p>
      <w:pPr>
        <w:pStyle w:val="ListBullet"/>
        <w:spacing w:after="40"/>
      </w:pPr>
      <w:r>
        <w:t xml:space="preserve">Travelport Flights API / booking guides: </w:t>
      </w:r>
      <w:hyperlink r:id="rId11">
        <w:r>
          <w:rPr>
            <w:color w:val="0563C1"/>
            <w:u w:val="single"/>
          </w:rPr>
          <w:t>https://developer.travelport.com/docs/flights</w:t>
        </w:r>
      </w:hyperlink>
    </w:p>
    <w:p>
      <w:pPr>
        <w:pStyle w:val="ListBullet"/>
        <w:spacing w:after="40"/>
      </w:pPr>
      <w:r>
        <w:t xml:space="preserve">Travelport Flights Booking Guide: </w:t>
      </w:r>
      <w:hyperlink r:id="rId12">
        <w:r>
          <w:rPr>
            <w:color w:val="0563C1"/>
            <w:u w:val="single"/>
          </w:rPr>
          <w:t>https://developer.travelport.com/docs/flights/guides/booking-and-reservations/flights-booking-guide</w:t>
        </w:r>
      </w:hyperlink>
    </w:p>
    <w:p>
      <w:pPr>
        <w:pStyle w:val="ListBullet"/>
        <w:spacing w:after="40"/>
      </w:pPr>
      <w:r>
        <w:t xml:space="preserve">Amadeus Flight Create Orders: </w:t>
      </w:r>
      <w:hyperlink r:id="rId13">
        <w:r>
          <w:rPr>
            <w:color w:val="0563C1"/>
            <w:u w:val="single"/>
          </w:rPr>
          <w:t>https://admin.developers.amadeus.com/self-service/category/flights/api-doc/flight-create-orders</w:t>
        </w:r>
      </w:hyperlink>
    </w:p>
    <w:p>
      <w:pPr>
        <w:pStyle w:val="ListBullet"/>
        <w:spacing w:after="40"/>
      </w:pPr>
      <w:r>
        <w:t xml:space="preserve">Amadeus Hotel APIs: </w:t>
      </w:r>
      <w:hyperlink r:id="rId14">
        <w:r>
          <w:rPr>
            <w:color w:val="0563C1"/>
            <w:u w:val="single"/>
          </w:rPr>
          <w:t>https://admin.developers.amadeus.com/self-service/apis-docs/guides/developer-guides/resources/hotels/</w:t>
        </w:r>
      </w:hyperlink>
    </w:p>
    <w:p>
      <w:pPr>
        <w:pStyle w:val="ListBullet"/>
        <w:spacing w:after="40"/>
      </w:pPr>
      <w:r>
        <w:t xml:space="preserve">Duffel Orders API: </w:t>
      </w:r>
      <w:hyperlink r:id="rId15">
        <w:r>
          <w:rPr>
            <w:color w:val="0563C1"/>
            <w:u w:val="single"/>
          </w:rPr>
          <w:t>https://duffel.com/docs/api/orders</w:t>
        </w:r>
      </w:hyperlink>
    </w:p>
    <w:p>
      <w:pPr>
        <w:pStyle w:val="ListBullet"/>
        <w:spacing w:after="40"/>
      </w:pPr>
      <w:r>
        <w:t xml:space="preserve">TBO Platform: </w:t>
      </w:r>
      <w:hyperlink r:id="rId16">
        <w:r>
          <w:rPr>
            <w:color w:val="0563C1"/>
            <w:u w:val="single"/>
          </w:rPr>
          <w:t>https://www.tbo.com/tbo-Platform</w:t>
        </w:r>
      </w:hyperlink>
    </w:p>
    <w:p>
      <w:pPr>
        <w:pStyle w:val="ListBullet"/>
        <w:spacing w:after="40"/>
      </w:pPr>
      <w:r>
        <w:t xml:space="preserve">TripJack API documentation: </w:t>
      </w:r>
      <w:hyperlink r:id="rId17">
        <w:r>
          <w:rPr>
            <w:color w:val="0563C1"/>
            <w:u w:val="single"/>
          </w:rPr>
          <w:t>https://tripjack.com/page/api-doc</w:t>
        </w:r>
      </w:hyperlink>
    </w:p>
    <w:p>
      <w:pPr>
        <w:pStyle w:val="ListBullet"/>
        <w:spacing w:after="40"/>
      </w:pPr>
      <w:r>
        <w:t xml:space="preserve">Hotelbeds Booking API: </w:t>
      </w:r>
      <w:hyperlink r:id="rId18">
        <w:r>
          <w:rPr>
            <w:color w:val="0563C1"/>
            <w:u w:val="single"/>
          </w:rPr>
          <w:t>https://developer.hotelbeds.com/documentation/hotels/booking-api/</w:t>
        </w:r>
      </w:hyperlink>
    </w:p>
    <w:p>
      <w:pPr>
        <w:pStyle w:val="ListBullet"/>
        <w:spacing w:after="40"/>
      </w:pPr>
      <w:r>
        <w:t xml:space="preserve">Expedia Rapid Lodging API: </w:t>
      </w:r>
      <w:hyperlink r:id="rId19">
        <w:r>
          <w:rPr>
            <w:color w:val="0563C1"/>
            <w:u w:val="single"/>
          </w:rPr>
          <w:t>https://developers.expediagroup.com/rapid/lodging</w:t>
        </w:r>
      </w:hyperlink>
    </w:p>
    <w:p>
      <w:pPr>
        <w:pStyle w:val="ListBullet"/>
        <w:spacing w:after="40"/>
      </w:pPr>
      <w:r>
        <w:t xml:space="preserve">Expedia Rapid setup / partner onboarding: </w:t>
      </w:r>
      <w:hyperlink r:id="rId20">
        <w:r>
          <w:rPr>
            <w:color w:val="0563C1"/>
            <w:u w:val="single"/>
          </w:rPr>
          <w:t>https://developers.expediagroup.com/rapid/setup</w:t>
        </w:r>
      </w:hyperlink>
    </w:p>
    <w:p>
      <w:pPr>
        <w:pStyle w:val="ListBullet"/>
        <w:spacing w:after="40"/>
      </w:pPr>
      <w:r>
        <w:t xml:space="preserve">Trawex Hotel + Flight API overview: </w:t>
      </w:r>
      <w:hyperlink r:id="rId21">
        <w:r>
          <w:rPr>
            <w:color w:val="0563C1"/>
            <w:u w:val="single"/>
          </w:rPr>
          <w:t>https://trawex.com/hotel-and-flight-api.php</w:t>
        </w:r>
      </w:hyperlink>
    </w:p>
    <w:p/>
    <w:tbl>
      <w:tblPr>
        <w:tblW w:type="auto" w:w="0"/>
        <w:jc w:val="center"/>
        <w:tblLook w:firstColumn="1" w:firstRow="1" w:lastColumn="0" w:lastRow="0" w:noHBand="0" w:noVBand="1" w:val="04A0"/>
      </w:tblPr>
      <w:tblGrid>
        <w:gridCol w:w="10224"/>
      </w:tblGrid>
      <w:tr>
        <w:trPr>
          <w:cantSplit/>
        </w:trPr>
        <w:tc>
          <w:tcPr>
            <w:tcW w:type="dxa" w:w="10224"/>
            <w:shd w:fill="F3F6F9"/>
          </w:tcPr>
          <w:p>
            <w:pPr>
              <w:spacing w:after="0"/>
            </w:pPr>
            <w:r>
              <w:rPr>
                <w:b/>
                <w:color w:val="1F4E79"/>
              </w:rPr>
              <w:t xml:space="preserve">Source caveat: </w:t>
            </w:r>
            <w:r>
              <w:t>The vendor descriptions supplied in this chat are treated as project-provided evidence. Third-party or first-party public documentation is used only to validate that the alternative capabilities exist; exact pricing and commercial eligibility remain subject to vendor confirmation.</w:t>
            </w:r>
          </w:p>
        </w:tc>
      </w:tr>
    </w:tbl>
    <w:p>
      <w:pPr>
        <w:spacing w:after="40"/>
      </w:pPr>
    </w:p>
    <w:p>
      <w:pPr>
        <w:jc w:val="center"/>
      </w:pPr>
      <w:r>
        <w:rPr>
          <w:b/>
          <w:color w:val="787878"/>
          <w:sz w:val="18"/>
        </w:rPr>
        <w:t>END OF PLANNING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Planning-stage working document | 15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TRAVEL BOOKING PLATFORM | API &amp; BOOKING R&amp;D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travelport.com/docs/flights" TargetMode="External"/><Relationship Id="rId12" Type="http://schemas.openxmlformats.org/officeDocument/2006/relationships/hyperlink" Target="https://developer.travelport.com/docs/flights/guides/booking-and-reservations/flights-booking-guide" TargetMode="External"/><Relationship Id="rId13" Type="http://schemas.openxmlformats.org/officeDocument/2006/relationships/hyperlink" Target="https://admin.developers.amadeus.com/self-service/category/flights/api-doc/flight-create-orders" TargetMode="External"/><Relationship Id="rId14" Type="http://schemas.openxmlformats.org/officeDocument/2006/relationships/hyperlink" Target="https://admin.developers.amadeus.com/self-service/apis-docs/guides/developer-guides/resources/hotels/" TargetMode="External"/><Relationship Id="rId15" Type="http://schemas.openxmlformats.org/officeDocument/2006/relationships/hyperlink" Target="https://duffel.com/docs/api/orders" TargetMode="External"/><Relationship Id="rId16" Type="http://schemas.openxmlformats.org/officeDocument/2006/relationships/hyperlink" Target="https://www.tbo.com/tbo-Platform" TargetMode="External"/><Relationship Id="rId17" Type="http://schemas.openxmlformats.org/officeDocument/2006/relationships/hyperlink" Target="https://tripjack.com/page/api-doc" TargetMode="External"/><Relationship Id="rId18" Type="http://schemas.openxmlformats.org/officeDocument/2006/relationships/hyperlink" Target="https://developer.hotelbeds.com/documentation/hotels/booking-api/" TargetMode="External"/><Relationship Id="rId19" Type="http://schemas.openxmlformats.org/officeDocument/2006/relationships/hyperlink" Target="https://developers.expediagroup.com/rapid/lodging" TargetMode="External"/><Relationship Id="rId20" Type="http://schemas.openxmlformats.org/officeDocument/2006/relationships/hyperlink" Target="https://developers.expediagroup.com/rapid/setup" TargetMode="External"/><Relationship Id="rId21" Type="http://schemas.openxmlformats.org/officeDocument/2006/relationships/hyperlink" Target="https://trawex.com/hotel-and-flight-api.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Booking Platform – API &amp; Booking R&amp;D Planning Report</dc:title>
  <dc:subject>Planning-stage travel API and booking vendor evaluation</dc:subject>
  <dc:creator>OpenAI</dc:creator>
  <cp:keywords>travel API, booking, flight, hotel, Trawex, Via.com, Ebix, Travelport, Amadeus, Duffel, TBO, TripJack</cp:keywords>
  <dc:description>generated by python-docx</dc:description>
  <cp:lastModifiedBy/>
  <cp:revision>1</cp:revision>
  <dcterms:created xsi:type="dcterms:W3CDTF">2013-12-23T23:15:00Z</dcterms:created>
  <dcterms:modified xsi:type="dcterms:W3CDTF">2013-12-23T23:15:00Z</dcterms:modified>
  <cp:category/>
</cp:coreProperties>
</file>