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rPr>
          <w:rFonts w:ascii="Arial" w:cs="Arial" w:eastAsia="Arial" w:hAnsi="Arial"/>
        </w:rPr>
        <w:t xml:space="preserve"/>
      </w:r>
    </w:p>
    <w:p>
      <w:pPr>
        <w:spacing w:after="120"/>
        <w:jc w:val="center"/>
      </w:pPr>
      <w:r>
        <w:rPr>
          <w:rFonts w:ascii="Arial" w:cs="Arial" w:eastAsia="Arial" w:hAnsi="Arial"/>
          <w:b/>
          <w:bCs/>
          <w:color w:val="0C2340"/>
          <w:sz w:val="72"/>
          <w:szCs w:val="72"/>
        </w:rPr>
        <w:t xml:space="preserve">ColoriSense Pro</w:t>
      </w:r>
    </w:p>
    <w:p>
      <w:pPr>
        <w:spacing w:after="60"/>
        <w:jc w:val="center"/>
      </w:pPr>
      <w:r>
        <w:rPr>
          <w:rFonts w:ascii="Arial" w:cs="Arial" w:eastAsia="Arial" w:hAnsi="Arial"/>
          <w:b w:val="false"/>
          <w:bCs w:val="false"/>
          <w:color w:val="1E78D4"/>
          <w:sz w:val="36"/>
          <w:szCs w:val="36"/>
        </w:rPr>
        <w:t xml:space="preserve">Colorimetric Analysis Platform</w:t>
      </w:r>
    </w:p>
    <w:p>
      <w:pPr>
        <w:spacing w:after="600"/>
        <w:jc w:val="center"/>
      </w:pPr>
      <w:r>
        <w:rPr>
          <w:rFonts w:ascii="Arial" w:cs="Arial" w:eastAsia="Arial" w:hAnsi="Arial"/>
          <w:i/>
          <w:iCs/>
          <w:color w:val="3D6A9A"/>
          <w:sz w:val="28"/>
          <w:szCs w:val="28"/>
        </w:rPr>
        <w:t xml:space="preserve">User Manual &amp; Technical Reference Guide</w:t>
      </w:r>
    </w:p>
    <w:p>
      <w:pPr>
        <w:pBdr>
          <w:bottom w:val="thick" w:color="1E78D4" w:sz="8" w:space="1"/>
        </w:pBdr>
        <w:spacing w:after="400"/>
      </w:pPr>
    </w:p>
    <w:p>
      <w:pPr>
        <w:spacing w:after="60"/>
        <w:jc w:val="center"/>
      </w:pPr>
      <w:r>
        <w:rPr>
          <w:rFonts w:ascii="Arial" w:cs="Arial" w:eastAsia="Arial" w:hAnsi="Arial"/>
          <w:i/>
          <w:iCs/>
          <w:color w:val="3D6A9A"/>
          <w:sz w:val="20"/>
          <w:szCs w:val="20"/>
        </w:rPr>
        <w:t xml:space="preserve">Developed by</w:t>
      </w:r>
    </w:p>
    <w:p>
      <w:pPr>
        <w:spacing w:after="60"/>
        <w:jc w:val="center"/>
      </w:pPr>
      <w:r>
        <w:rPr>
          <w:rFonts w:ascii="Arial" w:cs="Arial" w:eastAsia="Arial" w:hAnsi="Arial"/>
          <w:b/>
          <w:bCs/>
          <w:color w:val="0C2340"/>
          <w:sz w:val="24"/>
          <w:szCs w:val="24"/>
        </w:rPr>
        <w:t xml:space="preserve">Victor Omiyale A.  ·  BTH/20/6678</w:t>
      </w:r>
    </w:p>
    <w:p>
      <w:pPr>
        <w:spacing w:after="40"/>
        <w:jc w:val="center"/>
      </w:pPr>
      <w:r>
        <w:rPr>
          <w:rFonts w:ascii="Arial" w:cs="Arial" w:eastAsia="Arial" w:hAnsi="Arial"/>
          <w:color w:val="1556A0"/>
          <w:sz w:val="22"/>
          <w:szCs w:val="22"/>
        </w:rPr>
        <w:t xml:space="preserve">Department of Biotechnology</w:t>
      </w:r>
    </w:p>
    <w:p>
      <w:pPr>
        <w:spacing w:after="40"/>
        <w:jc w:val="center"/>
      </w:pPr>
      <w:r>
        <w:rPr>
          <w:rFonts w:ascii="Arial" w:cs="Arial" w:eastAsia="Arial" w:hAnsi="Arial"/>
          <w:color w:val="1556A0"/>
          <w:sz w:val="22"/>
          <w:szCs w:val="22"/>
        </w:rPr>
        <w:t xml:space="preserve">Biosensor &amp; Diagnostics Laboratory</w:t>
      </w:r>
    </w:p>
    <w:p>
      <w:pPr>
        <w:spacing w:after="80"/>
        <w:jc w:val="center"/>
      </w:pPr>
      <w:r>
        <w:rPr>
          <w:rFonts w:ascii="Arial" w:cs="Arial" w:eastAsia="Arial" w:hAnsi="Arial"/>
          <w:color w:val="1556A0"/>
          <w:sz w:val="22"/>
          <w:szCs w:val="22"/>
        </w:rPr>
        <w:t xml:space="preserve">Federal University of Technology, Akure (FUTA)</w:t>
      </w:r>
    </w:p>
    <w:p>
      <w:pPr>
        <w:spacing w:after="400"/>
        <w:jc w:val="center"/>
      </w:pPr>
      <w:r>
        <w:rPr>
          <w:rFonts w:ascii="Arial" w:cs="Arial" w:eastAsia="Arial" w:hAnsi="Arial"/>
          <w:i/>
          <w:iCs/>
          <w:color w:val="3D6A9A"/>
          <w:sz w:val="20"/>
          <w:szCs w:val="20"/>
        </w:rPr>
        <w:t xml:space="preserve">Supervisor: Dr. A. M. Ogunmolasuyi</w:t>
      </w:r>
    </w:p>
    <w:p>
      <w:pPr>
        <w:spacing w:after="0"/>
        <w:jc w:val="center"/>
      </w:pPr>
      <w:r>
        <w:rPr>
          <w:rFonts w:ascii="Arial" w:cs="Arial" w:eastAsia="Arial" w:hAnsi="Arial"/>
          <w:color w:val="3D6A9A"/>
          <w:sz w:val="20"/>
          <w:szCs w:val="20"/>
        </w:rPr>
        <w:t xml:space="preserve">Version 1.0  ·  2026</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Table of Contents</w:t>
      </w:r>
    </w:p>
    <w:p>
      <w:pPr>
        <w:spacing w:after="80"/>
      </w:pPr>
      <w:r>
        <w:rPr>
          <w:rFonts w:ascii="Arial" w:cs="Arial" w:eastAsia="Arial" w:hAnsi="Arial"/>
          <w:color w:val="0C2340"/>
          <w:sz w:val="22"/>
          <w:szCs w:val="22"/>
        </w:rPr>
        <w:t xml:space="preserve"/>
      </w:r>
    </w:p>
    <w:p>
      <w:pPr>
        <w:spacing w:after="100" w:before="40"/>
        <w:ind w:left="0"/>
      </w:pPr>
      <w:r>
        <w:rPr>
          <w:rFonts w:ascii="Arial" w:cs="Arial" w:eastAsia="Arial" w:hAnsi="Arial"/>
          <w:b w:val="1"/>
          <w:bCs w:val="1"/>
          <w:color w:val="1556A0"/>
          <w:sz w:val="22"/>
          <w:szCs w:val="22"/>
        </w:rPr>
        <w:t xml:space="preserve">1. Introduction &amp; Overview</w:t>
      </w:r>
    </w:p>
    <w:p>
      <w:pPr>
        <w:spacing w:after="100" w:before="40"/>
        <w:ind w:left="0"/>
      </w:pPr>
      <w:r>
        <w:rPr>
          <w:rFonts w:ascii="Arial" w:cs="Arial" w:eastAsia="Arial" w:hAnsi="Arial"/>
          <w:b w:val="2"/>
          <w:bCs w:val="2"/>
          <w:color w:val="1556A0"/>
          <w:sz w:val="22"/>
          <w:szCs w:val="22"/>
        </w:rPr>
        <w:t xml:space="preserve">2. Getting Started</w:t>
      </w:r>
    </w:p>
    <w:p>
      <w:pPr>
        <w:spacing w:after="100" w:before="40"/>
        <w:ind w:left="0"/>
      </w:pPr>
      <w:r>
        <w:rPr>
          <w:rFonts w:ascii="Arial" w:cs="Arial" w:eastAsia="Arial" w:hAnsi="Arial"/>
          <w:b w:val="3"/>
          <w:bCs w:val="3"/>
          <w:color w:val="1556A0"/>
          <w:sz w:val="22"/>
          <w:szCs w:val="22"/>
        </w:rPr>
        <w:t xml:space="preserve">3. Application Interface Overview</w:t>
      </w:r>
    </w:p>
    <w:p>
      <w:pPr>
        <w:spacing w:after="100" w:before="40"/>
        <w:ind w:left="0"/>
      </w:pPr>
      <w:r>
        <w:rPr>
          <w:rFonts w:ascii="Arial" w:cs="Arial" w:eastAsia="Arial" w:hAnsi="Arial"/>
          <w:b w:val="4"/>
          <w:bCs w:val="4"/>
          <w:color w:val="1556A0"/>
          <w:sz w:val="22"/>
          <w:szCs w:val="22"/>
        </w:rPr>
        <w:t xml:space="preserve">4. Tab-by-Tab Navigation Guide</w:t>
      </w:r>
    </w:p>
    <w:p>
      <w:pPr>
        <w:spacing w:after="100" w:before="40"/>
        <w:ind w:left="540"/>
      </w:pPr>
      <w:r>
        <w:rPr>
          <w:rFonts w:ascii="Arial" w:cs="Arial" w:eastAsia="Arial" w:hAnsi="Arial"/>
          <w:b w:val="null"/>
          <w:bCs w:val="null"/>
          <w:color w:val="1556A0"/>
          <w:sz w:val="22"/>
          <w:szCs w:val="22"/>
        </w:rPr>
        <w:t xml:space="preserve">   4.1  Home Tab</w:t>
      </w:r>
    </w:p>
    <w:p>
      <w:pPr>
        <w:spacing w:after="100" w:before="40"/>
        <w:ind w:left="540"/>
      </w:pPr>
      <w:r>
        <w:rPr>
          <w:rFonts w:ascii="Arial" w:cs="Arial" w:eastAsia="Arial" w:hAnsi="Arial"/>
          <w:b w:val="null"/>
          <w:bCs w:val="null"/>
          <w:color w:val="1556A0"/>
          <w:sz w:val="22"/>
          <w:szCs w:val="22"/>
        </w:rPr>
        <w:t xml:space="preserve">   4.2  Image Tab</w:t>
      </w:r>
    </w:p>
    <w:p>
      <w:pPr>
        <w:spacing w:after="100" w:before="40"/>
        <w:ind w:left="540"/>
      </w:pPr>
      <w:r>
        <w:rPr>
          <w:rFonts w:ascii="Arial" w:cs="Arial" w:eastAsia="Arial" w:hAnsi="Arial"/>
          <w:b w:val="null"/>
          <w:bCs w:val="null"/>
          <w:color w:val="1556A0"/>
          <w:sz w:val="22"/>
          <w:szCs w:val="22"/>
        </w:rPr>
        <w:t xml:space="preserve">   4.3  Regions Tab</w:t>
      </w:r>
    </w:p>
    <w:p>
      <w:pPr>
        <w:spacing w:after="100" w:before="40"/>
        <w:ind w:left="540"/>
      </w:pPr>
      <w:r>
        <w:rPr>
          <w:rFonts w:ascii="Arial" w:cs="Arial" w:eastAsia="Arial" w:hAnsi="Arial"/>
          <w:b w:val="null"/>
          <w:bCs w:val="null"/>
          <w:color w:val="1556A0"/>
          <w:sz w:val="22"/>
          <w:szCs w:val="22"/>
        </w:rPr>
        <w:t xml:space="preserve">   4.4  Histogram Tab</w:t>
      </w:r>
    </w:p>
    <w:p>
      <w:pPr>
        <w:spacing w:after="100" w:before="40"/>
        <w:ind w:left="540"/>
      </w:pPr>
      <w:r>
        <w:rPr>
          <w:rFonts w:ascii="Arial" w:cs="Arial" w:eastAsia="Arial" w:hAnsi="Arial"/>
          <w:b w:val="null"/>
          <w:bCs w:val="null"/>
          <w:color w:val="1556A0"/>
          <w:sz w:val="22"/>
          <w:szCs w:val="22"/>
        </w:rPr>
        <w:t xml:space="preserve">   4.5  Analysis Tab</w:t>
      </w:r>
    </w:p>
    <w:p>
      <w:pPr>
        <w:spacing w:after="100" w:before="40"/>
        <w:ind w:left="540"/>
      </w:pPr>
      <w:r>
        <w:rPr>
          <w:rFonts w:ascii="Arial" w:cs="Arial" w:eastAsia="Arial" w:hAnsi="Arial"/>
          <w:b w:val="null"/>
          <w:bCs w:val="null"/>
          <w:color w:val="1556A0"/>
          <w:sz w:val="22"/>
          <w:szCs w:val="22"/>
        </w:rPr>
        <w:t xml:space="preserve">   4.6  Results Tab</w:t>
      </w:r>
    </w:p>
    <w:p>
      <w:pPr>
        <w:spacing w:after="100" w:before="40"/>
        <w:ind w:left="540"/>
      </w:pPr>
      <w:r>
        <w:rPr>
          <w:rFonts w:ascii="Arial" w:cs="Arial" w:eastAsia="Arial" w:hAnsi="Arial"/>
          <w:b w:val="null"/>
          <w:bCs w:val="null"/>
          <w:color w:val="1556A0"/>
          <w:sz w:val="22"/>
          <w:szCs w:val="22"/>
        </w:rPr>
        <w:t xml:space="preserve">   4.7  Calibration Tab</w:t>
      </w:r>
    </w:p>
    <w:p>
      <w:pPr>
        <w:spacing w:after="100" w:before="40"/>
        <w:ind w:left="0"/>
      </w:pPr>
      <w:r>
        <w:rPr>
          <w:rFonts w:ascii="Arial" w:cs="Arial" w:eastAsia="Arial" w:hAnsi="Arial"/>
          <w:b w:val="5"/>
          <w:bCs w:val="5"/>
          <w:color w:val="1556A0"/>
          <w:sz w:val="22"/>
          <w:szCs w:val="22"/>
        </w:rPr>
        <w:t xml:space="preserve">5. Analysis Modes — Detailed Reference</w:t>
      </w:r>
    </w:p>
    <w:p>
      <w:pPr>
        <w:spacing w:after="100" w:before="40"/>
        <w:ind w:left="540"/>
      </w:pPr>
      <w:r>
        <w:rPr>
          <w:rFonts w:ascii="Arial" w:cs="Arial" w:eastAsia="Arial" w:hAnsi="Arial"/>
          <w:b w:val="null"/>
          <w:bCs w:val="null"/>
          <w:color w:val="1556A0"/>
          <w:sz w:val="22"/>
          <w:szCs w:val="22"/>
        </w:rPr>
        <w:t xml:space="preserve">   5.1  Mode 1: Sample vs Sample (Qualitative)</w:t>
      </w:r>
    </w:p>
    <w:p>
      <w:pPr>
        <w:spacing w:after="100" w:before="40"/>
        <w:ind w:left="540"/>
      </w:pPr>
      <w:r>
        <w:rPr>
          <w:rFonts w:ascii="Arial" w:cs="Arial" w:eastAsia="Arial" w:hAnsi="Arial"/>
          <w:b w:val="null"/>
          <w:bCs w:val="null"/>
          <w:color w:val="1556A0"/>
          <w:sz w:val="22"/>
          <w:szCs w:val="22"/>
        </w:rPr>
        <w:t xml:space="preserve">   5.2  Mode 2: Background-Corrected Absorbance</w:t>
      </w:r>
    </w:p>
    <w:p>
      <w:pPr>
        <w:spacing w:after="100" w:before="40"/>
        <w:ind w:left="540"/>
      </w:pPr>
      <w:r>
        <w:rPr>
          <w:rFonts w:ascii="Arial" w:cs="Arial" w:eastAsia="Arial" w:hAnsi="Arial"/>
          <w:b w:val="null"/>
          <w:bCs w:val="null"/>
          <w:color w:val="1556A0"/>
          <w:sz w:val="22"/>
          <w:szCs w:val="22"/>
        </w:rPr>
        <w:t xml:space="preserve">   5.3  Mode 3: Full Quantitative Analysis</w:t>
      </w:r>
    </w:p>
    <w:p>
      <w:pPr>
        <w:spacing w:after="100" w:before="40"/>
        <w:ind w:left="540"/>
      </w:pPr>
      <w:r>
        <w:rPr>
          <w:rFonts w:ascii="Arial" w:cs="Arial" w:eastAsia="Arial" w:hAnsi="Arial"/>
          <w:b w:val="null"/>
          <w:bCs w:val="null"/>
          <w:color w:val="1556A0"/>
          <w:sz w:val="22"/>
          <w:szCs w:val="22"/>
        </w:rPr>
        <w:t xml:space="preserve">   5.4  Mode 4: Multi-Blank Quantitative</w:t>
      </w:r>
    </w:p>
    <w:p>
      <w:pPr>
        <w:spacing w:after="100" w:before="40"/>
        <w:ind w:left="0"/>
      </w:pPr>
      <w:r>
        <w:rPr>
          <w:rFonts w:ascii="Arial" w:cs="Arial" w:eastAsia="Arial" w:hAnsi="Arial"/>
          <w:b w:val="6"/>
          <w:bCs w:val="6"/>
          <w:color w:val="1556A0"/>
          <w:sz w:val="22"/>
          <w:szCs w:val="22"/>
        </w:rPr>
        <w:t xml:space="preserve">6. Scientific Principles &amp; Algorithms</w:t>
      </w:r>
    </w:p>
    <w:p>
      <w:pPr>
        <w:spacing w:after="100" w:before="40"/>
        <w:ind w:left="0"/>
      </w:pPr>
      <w:r>
        <w:rPr>
          <w:rFonts w:ascii="Arial" w:cs="Arial" w:eastAsia="Arial" w:hAnsi="Arial"/>
          <w:b w:val="7"/>
          <w:bCs w:val="7"/>
          <w:color w:val="1556A0"/>
          <w:sz w:val="22"/>
          <w:szCs w:val="22"/>
        </w:rPr>
        <w:t xml:space="preserve">7. Step-by-Step Workflow Guides</w:t>
      </w:r>
    </w:p>
    <w:p>
      <w:pPr>
        <w:spacing w:after="100" w:before="40"/>
        <w:ind w:left="0"/>
      </w:pPr>
      <w:r>
        <w:rPr>
          <w:rFonts w:ascii="Arial" w:cs="Arial" w:eastAsia="Arial" w:hAnsi="Arial"/>
          <w:b w:val="8"/>
          <w:bCs w:val="8"/>
          <w:color w:val="1556A0"/>
          <w:sz w:val="22"/>
          <w:szCs w:val="22"/>
        </w:rPr>
        <w:t xml:space="preserve">8. Precautions &amp; Best-Practice Guidelines</w:t>
      </w:r>
    </w:p>
    <w:p>
      <w:pPr>
        <w:spacing w:after="100" w:before="40"/>
        <w:ind w:left="0"/>
      </w:pPr>
      <w:r>
        <w:rPr>
          <w:rFonts w:ascii="Arial" w:cs="Arial" w:eastAsia="Arial" w:hAnsi="Arial"/>
          <w:b w:val="9"/>
          <w:bCs w:val="9"/>
          <w:color w:val="1556A0"/>
          <w:sz w:val="22"/>
          <w:szCs w:val="22"/>
        </w:rPr>
        <w:t xml:space="preserve">9. Troubleshooting</w:t>
      </w:r>
    </w:p>
    <w:p>
      <w:pPr>
        <w:spacing w:after="100" w:before="40"/>
        <w:ind w:left="0"/>
      </w:pPr>
      <w:r>
        <w:rPr>
          <w:rFonts w:ascii="Arial" w:cs="Arial" w:eastAsia="Arial" w:hAnsi="Arial"/>
          <w:b w:val="1"/>
          <w:bCs w:val="1"/>
          <w:color w:val="1556A0"/>
          <w:sz w:val="22"/>
          <w:szCs w:val="22"/>
        </w:rPr>
        <w:t xml:space="preserve">10. Glossary of Terms</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1.  Introduction &amp; Overview</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b/>
          <w:bCs/>
          <w:color w:val="0C2340"/>
          <w:sz w:val="22"/>
          <w:szCs w:val="22"/>
        </w:rPr>
        <w:t xml:space="preserve">ColoriSense Pro</w:t>
      </w:r>
      <w:r>
        <w:rPr>
          <w:rFonts w:ascii="Arial" w:cs="Arial" w:eastAsia="Arial" w:hAnsi="Arial"/>
          <w:color w:val="0C2340"/>
          <w:sz w:val="22"/>
          <w:szCs w:val="22"/>
        </w:rPr>
        <w:t xml:space="preserve"> is a browser-based, offline-ready colorimetric image analysis platform developed for biomedical and biotechnology research at the Biosensor and Diagnostics Laboratory, Federal University of Technology, Akure (FUTA). The application enables researchers and students to perform rigorous, image-based colour intensity measurements directly from digital photographs of colorimetric assays — without requiring specialised laboratory equipment or desktop software.</w:t>
      </w:r>
    </w:p>
    <w:p>
      <w:pPr>
        <w:spacing w:after="160" w:before="40"/>
      </w:pPr>
      <w:r>
        <w:rPr>
          <w:rFonts w:ascii="Arial" w:cs="Arial" w:eastAsia="Arial" w:hAnsi="Arial"/>
          <w:color w:val="0C2340"/>
          <w:sz w:val="22"/>
          <w:szCs w:val="22"/>
        </w:rPr>
        <w:t xml:space="preserve">The platform implements established scientific principles including the </w:t>
      </w:r>
      <w:r>
        <w:rPr>
          <w:rFonts w:ascii="Arial" w:cs="Arial" w:eastAsia="Arial" w:hAnsi="Arial"/>
          <w:b/>
          <w:bCs/>
          <w:color w:val="0C2340"/>
          <w:sz w:val="22"/>
          <w:szCs w:val="22"/>
        </w:rPr>
        <w:t xml:space="preserve">Beer-Lambert Law</w:t>
      </w:r>
      <w:r>
        <w:rPr>
          <w:rFonts w:ascii="Arial" w:cs="Arial" w:eastAsia="Arial" w:hAnsi="Arial"/>
          <w:color w:val="0C2340"/>
          <w:sz w:val="22"/>
          <w:szCs w:val="22"/>
        </w:rPr>
        <w:t xml:space="preserve">, </w:t>
      </w:r>
      <w:r>
        <w:rPr>
          <w:rFonts w:ascii="Arial" w:cs="Arial" w:eastAsia="Arial" w:hAnsi="Arial"/>
          <w:b/>
          <w:bCs/>
          <w:color w:val="0C2340"/>
          <w:sz w:val="22"/>
          <w:szCs w:val="22"/>
        </w:rPr>
        <w:t xml:space="preserve">ITU-R BT.601 grayscale conversion</w:t>
      </w:r>
      <w:r>
        <w:rPr>
          <w:rFonts w:ascii="Arial" w:cs="Arial" w:eastAsia="Arial" w:hAnsi="Arial"/>
          <w:color w:val="0C2340"/>
          <w:sz w:val="22"/>
          <w:szCs w:val="22"/>
        </w:rPr>
        <w:t xml:space="preserve">, and three calibration regression models (</w:t>
      </w:r>
      <w:r>
        <w:rPr>
          <w:rFonts w:ascii="Arial" w:cs="Arial" w:eastAsia="Arial" w:hAnsi="Arial"/>
          <w:b/>
          <w:bCs/>
          <w:color w:val="0C2340"/>
          <w:sz w:val="22"/>
          <w:szCs w:val="22"/>
        </w:rPr>
        <w:t xml:space="preserve">Linear, Logistic/Sigmoid, and Michaelis-Menten</w:t>
      </w:r>
      <w:r>
        <w:rPr>
          <w:rFonts w:ascii="Arial" w:cs="Arial" w:eastAsia="Arial" w:hAnsi="Arial"/>
          <w:color w:val="0C2340"/>
          <w:sz w:val="22"/>
          <w:szCs w:val="22"/>
        </w:rPr>
        <w:t xml:space="preserve">) to transform raw pixel data into quantitative concentration values.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1.1  Key Capabilities</w:t>
      </w:r>
    </w:p>
    <w:p>
      <w:pPr>
        <w:pStyle w:val="ListParagraph"/>
        <w:numPr>
          <w:ilvl w:val="0"/>
          <w:numId w:val="2"/>
        </w:numPr>
        <w:spacing w:after="100" w:before="40"/>
      </w:pPr>
      <w:r>
        <w:rPr>
          <w:rFonts w:ascii="Arial" w:cs="Arial" w:eastAsia="Arial" w:hAnsi="Arial"/>
          <w:color w:val="0C2340"/>
          <w:sz w:val="22"/>
          <w:szCs w:val="22"/>
        </w:rPr>
        <w:t xml:space="preserve">Upload and visualise any digital image (JPG, PNG, BMP, WEBP)</w:t>
      </w:r>
    </w:p>
    <w:p>
      <w:pPr>
        <w:pStyle w:val="ListParagraph"/>
        <w:numPr>
          <w:ilvl w:val="0"/>
          <w:numId w:val="2"/>
        </w:numPr>
        <w:spacing w:after="100" w:before="40"/>
      </w:pPr>
      <w:r>
        <w:rPr>
          <w:rFonts w:ascii="Arial" w:cs="Arial" w:eastAsia="Arial" w:hAnsi="Arial"/>
          <w:color w:val="0C2340"/>
          <w:sz w:val="22"/>
          <w:szCs w:val="22"/>
        </w:rPr>
        <w:t xml:space="preserve">Draw multiple Regions of Interest (ROIs) directly on the image canvas with mouse or touch</w:t>
      </w:r>
    </w:p>
    <w:p>
      <w:pPr>
        <w:pStyle w:val="ListParagraph"/>
        <w:numPr>
          <w:ilvl w:val="0"/>
          <w:numId w:val="2"/>
        </w:numPr>
        <w:spacing w:after="100" w:before="40"/>
      </w:pPr>
      <w:r>
        <w:rPr>
          <w:rFonts w:ascii="Arial" w:cs="Arial" w:eastAsia="Arial" w:hAnsi="Arial"/>
          <w:color w:val="0C2340"/>
          <w:sz w:val="22"/>
          <w:szCs w:val="22"/>
        </w:rPr>
        <w:t xml:space="preserve">Extract per-region RGB colour values, HEX codes, and grayscale intensity scores</w:t>
      </w:r>
    </w:p>
    <w:p>
      <w:pPr>
        <w:pStyle w:val="ListParagraph"/>
        <w:numPr>
          <w:ilvl w:val="0"/>
          <w:numId w:val="2"/>
        </w:numPr>
        <w:spacing w:after="100" w:before="40"/>
      </w:pPr>
      <w:r>
        <w:rPr>
          <w:rFonts w:ascii="Arial" w:cs="Arial" w:eastAsia="Arial" w:hAnsi="Arial"/>
          <w:color w:val="0C2340"/>
          <w:sz w:val="22"/>
          <w:szCs w:val="22"/>
        </w:rPr>
        <w:t xml:space="preserve">Generate 256-bin pixel intensity histograms for statistical analysis</w:t>
      </w:r>
    </w:p>
    <w:p>
      <w:pPr>
        <w:pStyle w:val="ListParagraph"/>
        <w:numPr>
          <w:ilvl w:val="0"/>
          <w:numId w:val="2"/>
        </w:numPr>
        <w:spacing w:after="100" w:before="40"/>
      </w:pPr>
      <w:r>
        <w:rPr>
          <w:rFonts w:ascii="Arial" w:cs="Arial" w:eastAsia="Arial" w:hAnsi="Arial"/>
          <w:color w:val="0C2340"/>
          <w:sz w:val="22"/>
          <w:szCs w:val="22"/>
        </w:rPr>
        <w:t xml:space="preserve">Perform four distinct analysis modes from qualitative ranking to full quantitative calibration</w:t>
      </w:r>
    </w:p>
    <w:p>
      <w:pPr>
        <w:pStyle w:val="ListParagraph"/>
        <w:numPr>
          <w:ilvl w:val="0"/>
          <w:numId w:val="2"/>
        </w:numPr>
        <w:spacing w:after="100" w:before="40"/>
      </w:pPr>
      <w:r>
        <w:rPr>
          <w:rFonts w:ascii="Arial" w:cs="Arial" w:eastAsia="Arial" w:hAnsi="Arial"/>
          <w:color w:val="0C2340"/>
          <w:sz w:val="22"/>
          <w:szCs w:val="22"/>
        </w:rPr>
        <w:t xml:space="preserve">Apply Beer-Lambert Law absorbance calculations automatically</w:t>
      </w:r>
    </w:p>
    <w:p>
      <w:pPr>
        <w:pStyle w:val="ListParagraph"/>
        <w:numPr>
          <w:ilvl w:val="0"/>
          <w:numId w:val="2"/>
        </w:numPr>
        <w:spacing w:after="100" w:before="40"/>
      </w:pPr>
      <w:r>
        <w:rPr>
          <w:rFonts w:ascii="Arial" w:cs="Arial" w:eastAsia="Arial" w:hAnsi="Arial"/>
          <w:color w:val="0C2340"/>
          <w:sz w:val="22"/>
          <w:szCs w:val="22"/>
        </w:rPr>
        <w:t xml:space="preserve">Fit three regression models simultaneously and auto-select the best fit</w:t>
      </w:r>
    </w:p>
    <w:p>
      <w:pPr>
        <w:pStyle w:val="ListParagraph"/>
        <w:numPr>
          <w:ilvl w:val="0"/>
          <w:numId w:val="2"/>
        </w:numPr>
        <w:spacing w:after="100" w:before="40"/>
      </w:pPr>
      <w:r>
        <w:rPr>
          <w:rFonts w:ascii="Arial" w:cs="Arial" w:eastAsia="Arial" w:hAnsi="Arial"/>
          <w:color w:val="0C2340"/>
          <w:sz w:val="22"/>
          <w:szCs w:val="22"/>
        </w:rPr>
        <w:t xml:space="preserve">Render interactive calibration curves with R² and RMSE metrics</w:t>
      </w:r>
    </w:p>
    <w:p>
      <w:pPr>
        <w:pStyle w:val="ListParagraph"/>
        <w:numPr>
          <w:ilvl w:val="0"/>
          <w:numId w:val="2"/>
        </w:numPr>
        <w:spacing w:after="100" w:before="40"/>
      </w:pPr>
      <w:r>
        <w:rPr>
          <w:rFonts w:ascii="Arial" w:cs="Arial" w:eastAsia="Arial" w:hAnsi="Arial"/>
          <w:color w:val="0C2340"/>
          <w:sz w:val="22"/>
          <w:szCs w:val="22"/>
        </w:rPr>
        <w:t xml:space="preserve">Works fully offline — no internet connection required after initial load</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1.2  Intended Audience</w:t>
      </w:r>
    </w:p>
    <w:p>
      <w:pPr>
        <w:spacing w:after="160" w:before="40"/>
      </w:pPr>
      <w:r>
        <w:rPr>
          <w:rFonts w:ascii="Arial" w:cs="Arial" w:eastAsia="Arial" w:hAnsi="Arial"/>
          <w:color w:val="0C2340"/>
          <w:sz w:val="22"/>
          <w:szCs w:val="22"/>
        </w:rPr>
        <w:t xml:space="preserve">ColoriSense Pro is designed for:</w:t>
      </w:r>
    </w:p>
    <w:p>
      <w:pPr>
        <w:pStyle w:val="ListParagraph"/>
        <w:numPr>
          <w:ilvl w:val="0"/>
          <w:numId w:val="2"/>
        </w:numPr>
        <w:spacing w:after="100" w:before="40"/>
      </w:pPr>
      <w:r>
        <w:rPr>
          <w:rFonts w:ascii="Arial" w:cs="Arial" w:eastAsia="Arial" w:hAnsi="Arial"/>
          <w:color w:val="0C2340"/>
          <w:sz w:val="22"/>
          <w:szCs w:val="22"/>
        </w:rPr>
        <w:t xml:space="preserve">Biotechnology and biochemistry students conducting colorimetric assays</w:t>
      </w:r>
    </w:p>
    <w:p>
      <w:pPr>
        <w:pStyle w:val="ListParagraph"/>
        <w:numPr>
          <w:ilvl w:val="0"/>
          <w:numId w:val="2"/>
        </w:numPr>
        <w:spacing w:after="100" w:before="40"/>
      </w:pPr>
      <w:r>
        <w:rPr>
          <w:rFonts w:ascii="Arial" w:cs="Arial" w:eastAsia="Arial" w:hAnsi="Arial"/>
          <w:color w:val="0C2340"/>
          <w:sz w:val="22"/>
          <w:szCs w:val="22"/>
        </w:rPr>
        <w:t xml:space="preserve">Research scientists in biosensor and diagnostic laboratory settings</w:t>
      </w:r>
    </w:p>
    <w:p>
      <w:pPr>
        <w:pStyle w:val="ListParagraph"/>
        <w:numPr>
          <w:ilvl w:val="0"/>
          <w:numId w:val="2"/>
        </w:numPr>
        <w:spacing w:after="100" w:before="40"/>
      </w:pPr>
      <w:r>
        <w:rPr>
          <w:rFonts w:ascii="Arial" w:cs="Arial" w:eastAsia="Arial" w:hAnsi="Arial"/>
          <w:color w:val="0C2340"/>
          <w:sz w:val="22"/>
          <w:szCs w:val="22"/>
        </w:rPr>
        <w:t xml:space="preserve">Laboratory technicians requiring rapid, semi-quantitative colour comparisons</w:t>
      </w:r>
    </w:p>
    <w:p>
      <w:pPr>
        <w:pStyle w:val="ListParagraph"/>
        <w:numPr>
          <w:ilvl w:val="0"/>
          <w:numId w:val="2"/>
        </w:numPr>
        <w:spacing w:after="100" w:before="40"/>
      </w:pPr>
      <w:r>
        <w:rPr>
          <w:rFonts w:ascii="Arial" w:cs="Arial" w:eastAsia="Arial" w:hAnsi="Arial"/>
          <w:color w:val="0C2340"/>
          <w:sz w:val="22"/>
          <w:szCs w:val="22"/>
        </w:rPr>
        <w:t xml:space="preserve">Educators demonstrating Beer-Lambert Law and calibration curve principles</w:t>
      </w:r>
    </w:p>
    <w:p>
      <w:pPr>
        <w:spacing w:after="80"/>
      </w:pPr>
      <w:r>
        <w:rPr>
          <w:rFonts w:ascii="Arial" w:cs="Arial" w:eastAsia="Arial" w:hAnsi="Arial"/>
          <w:color w:val="0C2340"/>
          <w:sz w:val="22"/>
          <w:szCs w:val="22"/>
        </w:rPr>
        <w:t xml:space="preserve"/>
      </w:r>
    </w:p>
    <w:p>
      <w:pPr>
        <w:pBdr>
          <w:left w:val="single" w:color="1E78D4" w:sz="12" w:space="4"/>
        </w:pBdr>
        <w:shd w:fill="EAF5FF" w:val="clear"/>
        <w:spacing w:after="160" w:before="120"/>
        <w:ind w:left="200" w:right="200"/>
      </w:pPr>
      <w:r>
        <w:rPr>
          <w:rFonts w:ascii="Arial" w:cs="Arial" w:eastAsia="Arial" w:hAnsi="Arial"/>
          <w:b w:val="false"/>
          <w:bCs w:val="false"/>
          <w:i/>
          <w:iCs/>
          <w:color w:val="0C2340"/>
          <w:sz w:val="20"/>
          <w:szCs w:val="20"/>
        </w:rPr>
        <w:t xml:space="preserve">📝 NOTE:  ColoriSense Pro runs entirely inside your web browser. No data is uploaded to any server. All image processing is performed locally on your device using the HTML5 Canvas API.</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2.  Getting Started</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2.1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Requirement</w:t>
            </w:r>
          </w:p>
        </w:tc>
        <w:tc>
          <w:tcPr>
            <w:tcW w:type="dxa" w:w="67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Specification</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Browser</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Google Chrome 90+, Firefox 88+, Microsoft Edge 90+, Safari 14+</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Operating System</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Windows 10/11, macOS 10.15+, Linux (any modern distro), Android 9+, iOS 14+</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Device</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Desktop, laptop, tablet, or smartphone with touch support</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Internet Connection</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Not required after initial file load</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Storage</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No installation required; the app is a single .html file</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JavaScript</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Must be enabled in the browser</w:t>
            </w:r>
          </w:p>
        </w:tc>
      </w:tr>
    </w:tbl>
    <w:p>
      <w:pPr>
        <w:spacing w:after="16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2.2  Launching the Application</w:t>
      </w:r>
    </w:p>
    <w:p>
      <w:pPr>
        <w:pStyle w:val="ListParagraph"/>
        <w:numPr>
          <w:ilvl w:val="0"/>
          <w:numId w:val="3"/>
        </w:numPr>
        <w:spacing w:after="100" w:before="40"/>
      </w:pPr>
      <w:r>
        <w:rPr>
          <w:rFonts w:ascii="Arial" w:cs="Arial" w:eastAsia="Arial" w:hAnsi="Arial"/>
          <w:color w:val="0C2340"/>
          <w:sz w:val="22"/>
          <w:szCs w:val="22"/>
        </w:rPr>
        <w:t xml:space="preserve">Locate the file named ColoriSense_Pro.html on your device.</w:t>
      </w:r>
    </w:p>
    <w:p>
      <w:pPr>
        <w:pStyle w:val="ListParagraph"/>
        <w:numPr>
          <w:ilvl w:val="0"/>
          <w:numId w:val="3"/>
        </w:numPr>
        <w:spacing w:after="100" w:before="40"/>
      </w:pPr>
      <w:r>
        <w:rPr>
          <w:rFonts w:ascii="Arial" w:cs="Arial" w:eastAsia="Arial" w:hAnsi="Arial"/>
          <w:color w:val="0C2340"/>
          <w:sz w:val="22"/>
          <w:szCs w:val="22"/>
        </w:rPr>
        <w:t xml:space="preserve">Double-click the file, or right-click and choose "Open with" followed by your preferred browser.</w:t>
      </w:r>
    </w:p>
    <w:p>
      <w:pPr>
        <w:pStyle w:val="ListParagraph"/>
        <w:numPr>
          <w:ilvl w:val="0"/>
          <w:numId w:val="3"/>
        </w:numPr>
        <w:spacing w:after="100" w:before="40"/>
      </w:pPr>
      <w:r>
        <w:rPr>
          <w:rFonts w:ascii="Arial" w:cs="Arial" w:eastAsia="Arial" w:hAnsi="Arial"/>
          <w:color w:val="0C2340"/>
          <w:sz w:val="22"/>
          <w:szCs w:val="22"/>
        </w:rPr>
        <w:t xml:space="preserve">The application will load immediately in the browser window. No installation wizard or internet connection is needed.</w:t>
      </w:r>
    </w:p>
    <w:p>
      <w:pPr>
        <w:pStyle w:val="ListParagraph"/>
        <w:numPr>
          <w:ilvl w:val="0"/>
          <w:numId w:val="3"/>
        </w:numPr>
        <w:spacing w:after="100" w:before="40"/>
      </w:pPr>
      <w:r>
        <w:rPr>
          <w:rFonts w:ascii="Arial" w:cs="Arial" w:eastAsia="Arial" w:hAnsi="Arial"/>
          <w:color w:val="0C2340"/>
          <w:sz w:val="22"/>
          <w:szCs w:val="22"/>
        </w:rPr>
        <w:t xml:space="preserve">Bookmark the file location in your browser for quick future access.</w:t>
      </w:r>
    </w:p>
    <w:p>
      <w:pPr>
        <w:spacing w:after="80"/>
      </w:pPr>
      <w:r>
        <w:rPr>
          <w:rFonts w:ascii="Arial" w:cs="Arial" w:eastAsia="Arial" w:hAnsi="Arial"/>
          <w:color w:val="0C2340"/>
          <w:sz w:val="22"/>
          <w:szCs w:val="22"/>
        </w:rPr>
        <w:t xml:space="preserve"/>
      </w:r>
    </w:p>
    <w:p>
      <w:pPr>
        <w:pBdr>
          <w:left w:val="single" w:color="1E78D4" w:sz="12" w:space="4"/>
        </w:pBdr>
        <w:shd w:fill="E6FAF7" w:val="clear"/>
        <w:spacing w:after="160" w:before="120"/>
        <w:ind w:left="200" w:right="200"/>
      </w:pPr>
      <w:r>
        <w:rPr>
          <w:rFonts w:ascii="Arial" w:cs="Arial" w:eastAsia="Arial" w:hAnsi="Arial"/>
          <w:b w:val="false"/>
          <w:bCs w:val="false"/>
          <w:i/>
          <w:iCs/>
          <w:color w:val="0C3030"/>
          <w:sz w:val="20"/>
          <w:szCs w:val="20"/>
        </w:rPr>
        <w:t xml:space="preserve">💡 TIP:  On mobile devices (Android/iOS), the file can be opened from the Files or Downloads app. On iOS, use Safari for full Canvas API compatibility.</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2.3  First Launch — Quick Start Summary</w:t>
      </w:r>
    </w:p>
    <w:p>
      <w:pPr>
        <w:spacing w:after="160" w:before="40"/>
      </w:pPr>
      <w:r>
        <w:rPr>
          <w:rFonts w:ascii="Arial" w:cs="Arial" w:eastAsia="Arial" w:hAnsi="Arial"/>
          <w:color w:val="0C2340"/>
          <w:sz w:val="22"/>
          <w:szCs w:val="22"/>
        </w:rPr>
        <w:t xml:space="preserve">Follow these five steps to perform your first analysis:</w:t>
      </w:r>
    </w:p>
    <w:p>
      <w:pPr>
        <w:pStyle w:val="ListParagraph"/>
        <w:numPr>
          <w:ilvl w:val="0"/>
          <w:numId w:val="3"/>
        </w:numPr>
        <w:spacing w:after="100" w:before="40"/>
      </w:pPr>
      <w:r>
        <w:rPr>
          <w:rFonts w:ascii="Arial" w:cs="Arial" w:eastAsia="Arial" w:hAnsi="Arial"/>
          <w:color w:val="0C2340"/>
          <w:sz w:val="22"/>
          <w:szCs w:val="22"/>
        </w:rPr>
        <w:t xml:space="preserve">Click the </w:t>
      </w:r>
    </w:p>
    <w:p>
      <w:pPr>
        <w:pStyle w:val="ListParagraph"/>
        <w:numPr>
          <w:ilvl w:val="0"/>
          <w:numId w:val="4"/>
        </w:numPr>
        <w:spacing w:after="100"/>
      </w:pPr>
      <w:r>
        <w:rPr>
          <w:rFonts w:ascii="Arial" w:cs="Arial" w:eastAsia="Arial" w:hAnsi="Arial"/>
          <w:color w:val="0C2340"/>
          <w:sz w:val="22"/>
          <w:szCs w:val="22"/>
        </w:rPr>
        <w:t xml:space="preserve">Click the </w:t>
      </w:r>
      <w:r>
        <w:rPr>
          <w:rFonts w:ascii="Arial" w:cs="Arial" w:eastAsia="Arial" w:hAnsi="Arial"/>
          <w:b/>
          <w:bCs/>
          <w:color w:val="0C2340"/>
          <w:sz w:val="22"/>
          <w:szCs w:val="22"/>
        </w:rPr>
        <w:t xml:space="preserve">📷 Image</w:t>
      </w:r>
      <w:r>
        <w:rPr>
          <w:rFonts w:ascii="Arial" w:cs="Arial" w:eastAsia="Arial" w:hAnsi="Arial"/>
          <w:color w:val="0C2340"/>
          <w:sz w:val="22"/>
          <w:szCs w:val="22"/>
        </w:rPr>
        <w:t xml:space="preserve"> tab in the top navigation bar.</w:t>
      </w:r>
    </w:p>
    <w:p>
      <w:pPr>
        <w:pStyle w:val="ListParagraph"/>
        <w:numPr>
          <w:ilvl w:val="0"/>
          <w:numId w:val="4"/>
        </w:numPr>
        <w:spacing w:after="100"/>
      </w:pPr>
      <w:r>
        <w:rPr>
          <w:rFonts w:ascii="Arial" w:cs="Arial" w:eastAsia="Arial" w:hAnsi="Arial"/>
          <w:color w:val="0C2340"/>
          <w:sz w:val="22"/>
          <w:szCs w:val="22"/>
        </w:rPr>
        <w:t xml:space="preserve">Tap the upload area or drag-and-drop an image file onto it.</w:t>
      </w:r>
    </w:p>
    <w:p>
      <w:pPr>
        <w:pStyle w:val="ListParagraph"/>
        <w:numPr>
          <w:ilvl w:val="0"/>
          <w:numId w:val="4"/>
        </w:numPr>
        <w:spacing w:after="100"/>
      </w:pPr>
      <w:r>
        <w:rPr>
          <w:rFonts w:ascii="Arial" w:cs="Arial" w:eastAsia="Arial" w:hAnsi="Arial"/>
          <w:color w:val="0C2340"/>
          <w:sz w:val="22"/>
          <w:szCs w:val="22"/>
        </w:rPr>
        <w:t xml:space="preserve">Click </w:t>
      </w:r>
      <w:r>
        <w:rPr>
          <w:rFonts w:ascii="Arial" w:cs="Arial" w:eastAsia="Arial" w:hAnsi="Arial"/>
          <w:b/>
          <w:bCs/>
          <w:color w:val="0C2340"/>
          <w:sz w:val="22"/>
          <w:szCs w:val="22"/>
        </w:rPr>
        <w:t xml:space="preserve">Select Region</w:t>
      </w:r>
      <w:r>
        <w:rPr>
          <w:rFonts w:ascii="Arial" w:cs="Arial" w:eastAsia="Arial" w:hAnsi="Arial"/>
          <w:color w:val="0C2340"/>
          <w:sz w:val="22"/>
          <w:szCs w:val="22"/>
        </w:rPr>
        <w:t xml:space="preserve"> and drag a rectangle over each area of interest on the image. Label each region and assign its type (Blank, Sample, or Standard).</w:t>
      </w:r>
    </w:p>
    <w:p>
      <w:pPr>
        <w:pStyle w:val="ListParagraph"/>
        <w:numPr>
          <w:ilvl w:val="0"/>
          <w:numId w:val="4"/>
        </w:numPr>
        <w:spacing w:after="100"/>
      </w:pPr>
      <w:r>
        <w:rPr>
          <w:rFonts w:ascii="Arial" w:cs="Arial" w:eastAsia="Arial" w:hAnsi="Arial"/>
          <w:color w:val="0C2340"/>
          <w:sz w:val="22"/>
          <w:szCs w:val="22"/>
        </w:rPr>
        <w:t xml:space="preserve">Navigate to the </w:t>
      </w:r>
      <w:r>
        <w:rPr>
          <w:rFonts w:ascii="Arial" w:cs="Arial" w:eastAsia="Arial" w:hAnsi="Arial"/>
          <w:b/>
          <w:bCs/>
          <w:color w:val="0C2340"/>
          <w:sz w:val="22"/>
          <w:szCs w:val="22"/>
        </w:rPr>
        <w:t xml:space="preserve">⚗️ Analysis</w:t>
      </w:r>
      <w:r>
        <w:rPr>
          <w:rFonts w:ascii="Arial" w:cs="Arial" w:eastAsia="Arial" w:hAnsi="Arial"/>
          <w:color w:val="0C2340"/>
          <w:sz w:val="22"/>
          <w:szCs w:val="22"/>
        </w:rPr>
        <w:t xml:space="preserve"> tab, choose an analysis mode, configure the settings, and click </w:t>
      </w:r>
      <w:r>
        <w:rPr>
          <w:rFonts w:ascii="Arial" w:cs="Arial" w:eastAsia="Arial" w:hAnsi="Arial"/>
          <w:b/>
          <w:bCs/>
          <w:color w:val="0C2340"/>
          <w:sz w:val="22"/>
          <w:szCs w:val="22"/>
        </w:rPr>
        <w:t xml:space="preserve">▶ Run Analysis</w:t>
      </w:r>
      <w:r>
        <w:rPr>
          <w:rFonts w:ascii="Arial" w:cs="Arial" w:eastAsia="Arial" w:hAnsi="Arial"/>
          <w:color w:val="0C2340"/>
          <w:sz w:val="22"/>
          <w:szCs w:val="22"/>
        </w:rPr>
        <w:t xml:space="preserve">.</w:t>
      </w:r>
    </w:p>
    <w:p>
      <w:pPr>
        <w:pStyle w:val="ListParagraph"/>
        <w:numPr>
          <w:ilvl w:val="0"/>
          <w:numId w:val="4"/>
        </w:numPr>
        <w:spacing w:after="100"/>
      </w:pPr>
      <w:r>
        <w:rPr>
          <w:rFonts w:ascii="Arial" w:cs="Arial" w:eastAsia="Arial" w:hAnsi="Arial"/>
          <w:color w:val="0C2340"/>
          <w:sz w:val="22"/>
          <w:szCs w:val="22"/>
        </w:rPr>
        <w:t xml:space="preserve">Review outputs in the </w:t>
      </w:r>
      <w:r>
        <w:rPr>
          <w:rFonts w:ascii="Arial" w:cs="Arial" w:eastAsia="Arial" w:hAnsi="Arial"/>
          <w:b/>
          <w:bCs/>
          <w:color w:val="0C2340"/>
          <w:sz w:val="22"/>
          <w:szCs w:val="22"/>
        </w:rPr>
        <w:t xml:space="preserve">📋 Results</w:t>
      </w:r>
      <w:r>
        <w:rPr>
          <w:rFonts w:ascii="Arial" w:cs="Arial" w:eastAsia="Arial" w:hAnsi="Arial"/>
          <w:color w:val="0C2340"/>
          <w:sz w:val="22"/>
          <w:szCs w:val="22"/>
        </w:rPr>
        <w:t xml:space="preserve"> and </w:t>
      </w:r>
      <w:r>
        <w:rPr>
          <w:rFonts w:ascii="Arial" w:cs="Arial" w:eastAsia="Arial" w:hAnsi="Arial"/>
          <w:b/>
          <w:bCs/>
          <w:color w:val="0C2340"/>
          <w:sz w:val="22"/>
          <w:szCs w:val="22"/>
        </w:rPr>
        <w:t xml:space="preserve">📈 Calibration</w:t>
      </w:r>
      <w:r>
        <w:rPr>
          <w:rFonts w:ascii="Arial" w:cs="Arial" w:eastAsia="Arial" w:hAnsi="Arial"/>
          <w:color w:val="0C2340"/>
          <w:sz w:val="22"/>
          <w:szCs w:val="22"/>
        </w:rPr>
        <w:t xml:space="preserve"> tabs.</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3.  Application Interface Overview</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ColoriSense Pro interface is divided into three primary areas: the </w:t>
      </w:r>
      <w:r>
        <w:rPr>
          <w:rFonts w:ascii="Arial" w:cs="Arial" w:eastAsia="Arial" w:hAnsi="Arial"/>
          <w:b/>
          <w:bCs/>
          <w:color w:val="0C2340"/>
          <w:sz w:val="22"/>
          <w:szCs w:val="22"/>
        </w:rPr>
        <w:t xml:space="preserve">Header</w:t>
      </w:r>
      <w:r>
        <w:rPr>
          <w:rFonts w:ascii="Arial" w:cs="Arial" w:eastAsia="Arial" w:hAnsi="Arial"/>
          <w:color w:val="0C2340"/>
          <w:sz w:val="22"/>
          <w:szCs w:val="22"/>
        </w:rPr>
        <w:t xml:space="preserve">, the </w:t>
      </w:r>
      <w:r>
        <w:rPr>
          <w:rFonts w:ascii="Arial" w:cs="Arial" w:eastAsia="Arial" w:hAnsi="Arial"/>
          <w:b/>
          <w:bCs/>
          <w:color w:val="0C2340"/>
          <w:sz w:val="22"/>
          <w:szCs w:val="22"/>
        </w:rPr>
        <w:t xml:space="preserve">Navigation Tabs</w:t>
      </w:r>
      <w:r>
        <w:rPr>
          <w:rFonts w:ascii="Arial" w:cs="Arial" w:eastAsia="Arial" w:hAnsi="Arial"/>
          <w:color w:val="0C2340"/>
          <w:sz w:val="22"/>
          <w:szCs w:val="22"/>
        </w:rPr>
        <w:t xml:space="preserve">, and the </w:t>
      </w:r>
      <w:r>
        <w:rPr>
          <w:rFonts w:ascii="Arial" w:cs="Arial" w:eastAsia="Arial" w:hAnsi="Arial"/>
          <w:b/>
          <w:bCs/>
          <w:color w:val="0C2340"/>
          <w:sz w:val="22"/>
          <w:szCs w:val="22"/>
        </w:rPr>
        <w:t xml:space="preserve">Main Content Area</w:t>
      </w:r>
      <w:r>
        <w:rPr>
          <w:rFonts w:ascii="Arial" w:cs="Arial" w:eastAsia="Arial" w:hAnsi="Arial"/>
          <w:color w:val="0C2340"/>
          <w:sz w:val="22"/>
          <w:szCs w:val="22"/>
        </w:rPr>
        <w:t xml:space="preserve">. Understanding each area is essential for efficient workflow.</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3.1  Application Header</w:t>
      </w:r>
    </w:p>
    <w:p>
      <w:pPr>
        <w:spacing w:after="160" w:before="40"/>
      </w:pPr>
      <w:r>
        <w:rPr>
          <w:rFonts w:ascii="Arial" w:cs="Arial" w:eastAsia="Arial" w:hAnsi="Arial"/>
          <w:color w:val="0C2340"/>
          <w:sz w:val="22"/>
          <w:szCs w:val="22"/>
        </w:rPr>
        <w:t xml:space="preserve">The header spans the top of the screen and remains visible at all times (sticky positioning). It contains:</w:t>
      </w:r>
    </w:p>
    <w:p>
      <w:pPr>
        <w:pStyle w:val="ListParagraph"/>
        <w:numPr>
          <w:ilvl w:val="0"/>
          <w:numId w:val="2"/>
        </w:numPr>
        <w:spacing w:after="100" w:before="40"/>
      </w:pPr>
      <w:r>
        <w:rPr>
          <w:rFonts w:ascii="Arial" w:cs="Arial" w:eastAsia="Arial" w:hAnsi="Arial"/>
          <w:color w:val="0C2340"/>
          <w:sz w:val="22"/>
          <w:szCs w:val="22"/>
        </w:rPr>
        <w:t xml:space="preserve">Logo &amp; Application Name — the ColoriSense Pro prism icon and platform subtitle.</w:t>
      </w:r>
    </w:p>
    <w:p>
      <w:pPr>
        <w:pStyle w:val="ListParagraph"/>
        <w:numPr>
          <w:ilvl w:val="0"/>
          <w:numId w:val="2"/>
        </w:numPr>
        <w:spacing w:after="100" w:before="40"/>
      </w:pPr>
      <w:r>
        <w:rPr>
          <w:rFonts w:ascii="Arial" w:cs="Arial" w:eastAsia="Arial" w:hAnsi="Arial"/>
          <w:color w:val="0C2340"/>
          <w:sz w:val="22"/>
          <w:szCs w:val="22"/>
        </w:rPr>
        <w:t xml:space="preserve">Navigation Tabs — seven tabs for accessing each functional module of the application.</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3.2  Navigation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960"/>
      </w:tblGrid>
      <w:tr>
        <w:trPr>
          <w:tblHeader/>
        </w:trPr>
        <w:tc>
          <w:tcPr>
            <w:tcW w:type="dxa" w:w="18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Tab</w:t>
            </w:r>
          </w:p>
        </w:tc>
        <w:tc>
          <w:tcPr>
            <w:tcW w:type="dxa" w:w="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Icon</w:t>
            </w:r>
          </w:p>
        </w:tc>
        <w:tc>
          <w:tcPr>
            <w:tcW w:type="dxa" w:w="69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Primary Function</w:t>
            </w:r>
          </w:p>
        </w:tc>
      </w:tr>
      <w:tr>
        <w:tc>
          <w:tcPr>
            <w:tcW w:type="dxa" w:w="18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Home</w:t>
            </w:r>
          </w:p>
        </w:tc>
        <w:tc>
          <w:tcPr>
            <w:tcW w:type="dxa" w:w="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Welcome screen, feature overview, and quick-start shortcuts</w:t>
            </w:r>
          </w:p>
        </w:tc>
      </w:tr>
      <w:tr>
        <w:tc>
          <w:tcPr>
            <w:tcW w:type="dxa" w:w="18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Image</w:t>
            </w:r>
          </w:p>
        </w:tc>
        <w:tc>
          <w:tcPr>
            <w:tcW w:type="dxa" w:w="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Upload images and draw Regions of Interest (ROIs) on the canvas</w:t>
            </w:r>
          </w:p>
        </w:tc>
      </w:tr>
      <w:tr>
        <w:tc>
          <w:tcPr>
            <w:tcW w:type="dxa" w:w="18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Regions</w:t>
            </w:r>
          </w:p>
        </w:tc>
        <w:tc>
          <w:tcPr>
            <w:tcW w:type="dxa" w:w="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Review, manage, and delete defined ROIs; view intensity summaries</w:t>
            </w:r>
          </w:p>
        </w:tc>
      </w:tr>
      <w:tr>
        <w:tc>
          <w:tcPr>
            <w:tcW w:type="dxa" w:w="18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Histogram</w:t>
            </w:r>
          </w:p>
        </w:tc>
        <w:tc>
          <w:tcPr>
            <w:tcW w:type="dxa" w:w="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Generate and inspect 256-bin pixel intensity histograms per region</w:t>
            </w:r>
          </w:p>
        </w:tc>
      </w:tr>
      <w:tr>
        <w:tc>
          <w:tcPr>
            <w:tcW w:type="dxa" w:w="18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Analysis</w:t>
            </w:r>
          </w:p>
        </w:tc>
        <w:tc>
          <w:tcPr>
            <w:tcW w:type="dxa" w:w="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Select analysis mode, configure parameters, and execute analysis</w:t>
            </w:r>
          </w:p>
        </w:tc>
      </w:tr>
      <w:tr>
        <w:tc>
          <w:tcPr>
            <w:tcW w:type="dxa" w:w="18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Results</w:t>
            </w:r>
          </w:p>
        </w:tc>
        <w:tc>
          <w:tcPr>
            <w:tcW w:type="dxa" w:w="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View full tabular results including RGB, absorbance, and concentration</w:t>
            </w:r>
          </w:p>
        </w:tc>
      </w:tr>
      <w:tr>
        <w:tc>
          <w:tcPr>
            <w:tcW w:type="dxa" w:w="18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Calibration</w:t>
            </w:r>
          </w:p>
        </w:tc>
        <w:tc>
          <w:tcPr>
            <w:tcW w:type="dxa" w:w="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t>
            </w:r>
          </w:p>
        </w:tc>
        <w:tc>
          <w:tcPr>
            <w:tcW w:type="dxa" w:w="6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View calibration curve chart, model statistics, and concentration table</w:t>
            </w:r>
          </w:p>
        </w:tc>
      </w:tr>
    </w:tbl>
    <w:p>
      <w:pPr>
        <w:spacing w:after="16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3.3  Select Mode Bar</w:t>
      </w:r>
    </w:p>
    <w:p>
      <w:pPr>
        <w:spacing w:after="160" w:before="40"/>
      </w:pPr>
      <w:r>
        <w:rPr>
          <w:rFonts w:ascii="Arial" w:cs="Arial" w:eastAsia="Arial" w:hAnsi="Arial"/>
          <w:color w:val="0C2340"/>
          <w:sz w:val="22"/>
          <w:szCs w:val="22"/>
        </w:rPr>
        <w:t xml:space="preserve">When the </w:t>
      </w:r>
      <w:r>
        <w:rPr>
          <w:rFonts w:ascii="Arial" w:cs="Arial" w:eastAsia="Arial" w:hAnsi="Arial"/>
          <w:b/>
          <w:bCs/>
          <w:color w:val="0C2340"/>
          <w:sz w:val="22"/>
          <w:szCs w:val="22"/>
        </w:rPr>
        <w:t xml:space="preserve">Select Region</w:t>
      </w:r>
      <w:r>
        <w:rPr>
          <w:rFonts w:ascii="Arial" w:cs="Arial" w:eastAsia="Arial" w:hAnsi="Arial"/>
          <w:color w:val="0C2340"/>
          <w:sz w:val="22"/>
          <w:szCs w:val="22"/>
        </w:rPr>
        <w:t xml:space="preserve"> button is clicked, a blue banner appears below the header reading "Draw Mode — Drag on image to define region boundary." This bar remains visible until a region is confirmed or the selection is cancelled. It serves as a visual indicator that the canvas is in drawing mode.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3.4  Cards</w:t>
      </w:r>
    </w:p>
    <w:p>
      <w:pPr>
        <w:spacing w:after="160" w:before="40"/>
      </w:pPr>
      <w:r>
        <w:rPr>
          <w:rFonts w:ascii="Arial" w:cs="Arial" w:eastAsia="Arial" w:hAnsi="Arial"/>
          <w:color w:val="0C2340"/>
          <w:sz w:val="22"/>
          <w:szCs w:val="22"/>
        </w:rPr>
        <w:t xml:space="preserve">Content within each tab is organised into </w:t>
      </w:r>
      <w:r>
        <w:rPr>
          <w:rFonts w:ascii="Arial" w:cs="Arial" w:eastAsia="Arial" w:hAnsi="Arial"/>
          <w:b/>
          <w:bCs/>
          <w:color w:val="0C2340"/>
          <w:sz w:val="22"/>
          <w:szCs w:val="22"/>
        </w:rPr>
        <w:t xml:space="preserve">cards</w:t>
      </w:r>
      <w:r>
        <w:rPr>
          <w:rFonts w:ascii="Arial" w:cs="Arial" w:eastAsia="Arial" w:hAnsi="Arial"/>
          <w:color w:val="0C2340"/>
          <w:sz w:val="22"/>
          <w:szCs w:val="22"/>
        </w:rPr>
        <w:t xml:space="preserve"> — white panels with rounded corners and a dark blue header bar. The card header displays the section title; the card body contains the interactive controls and data. Cards can be scrolled past on mobile devices without affecting the sticky header.</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3.5  Toast Notifications</w:t>
      </w:r>
    </w:p>
    <w:p>
      <w:pPr>
        <w:spacing w:after="160" w:before="40"/>
      </w:pPr>
      <w:r>
        <w:rPr>
          <w:rFonts w:ascii="Arial" w:cs="Arial" w:eastAsia="Arial" w:hAnsi="Arial"/>
          <w:color w:val="0C2340"/>
          <w:sz w:val="22"/>
          <w:szCs w:val="22"/>
        </w:rPr>
        <w:t xml:space="preserve">Brief messages appear at the bottom of the screen for 4.5 seconds to provide feedback on user actions. Colours indicate the type of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Colour</w:t>
            </w:r>
          </w:p>
        </w:tc>
        <w:tc>
          <w:tcPr>
            <w:tcW w:type="dxa" w:w="1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Type</w:t>
            </w:r>
          </w:p>
        </w:tc>
        <w:tc>
          <w:tcPr>
            <w:tcW w:type="dxa" w:w="61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Example Message</w:t>
            </w:r>
          </w:p>
        </w:tc>
      </w:tr>
      <w:tr>
        <w:tc>
          <w:tcPr>
            <w:tcW w:type="dxa" w:w="1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Blue</w:t>
            </w:r>
          </w:p>
        </w:tc>
        <w:tc>
          <w:tcPr>
            <w:tcW w:type="dxa" w:w="1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Info</w:t>
            </w:r>
          </w:p>
        </w:tc>
        <w:tc>
          <w:tcPr>
            <w:tcW w:type="dxa" w:w="61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"Please upload an image first."</w:t>
            </w:r>
          </w:p>
        </w:tc>
      </w:tr>
      <w:tr>
        <w:tc>
          <w:tcPr>
            <w:tcW w:type="dxa" w:w="1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Green</w:t>
            </w:r>
          </w:p>
        </w:tc>
        <w:tc>
          <w:tcPr>
            <w:tcW w:type="dxa" w:w="1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Success</w:t>
            </w:r>
          </w:p>
        </w:tc>
        <w:tc>
          <w:tcPr>
            <w:tcW w:type="dxa" w:w="61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"Analysis complete."</w:t>
            </w:r>
          </w:p>
        </w:tc>
      </w:tr>
      <w:tr>
        <w:tc>
          <w:tcPr>
            <w:tcW w:type="dxa" w:w="1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Amber</w:t>
            </w:r>
          </w:p>
        </w:tc>
        <w:tc>
          <w:tcPr>
            <w:tcW w:type="dxa" w:w="1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Warning</w:t>
            </w:r>
          </w:p>
        </w:tc>
        <w:tc>
          <w:tcPr>
            <w:tcW w:type="dxa" w:w="61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"Please enter a label."</w:t>
            </w:r>
          </w:p>
        </w:tc>
      </w:tr>
      <w:tr>
        <w:tc>
          <w:tcPr>
            <w:tcW w:type="dxa" w:w="1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Red</w:t>
            </w:r>
          </w:p>
        </w:tc>
        <w:tc>
          <w:tcPr>
            <w:tcW w:type="dxa" w:w="1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Error</w:t>
            </w:r>
          </w:p>
        </w:tc>
        <w:tc>
          <w:tcPr>
            <w:tcW w:type="dxa" w:w="61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"Could not compute — invalid data."</w:t>
            </w:r>
          </w:p>
        </w:tc>
      </w:tr>
    </w:tbl>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4.  Tab-by-Tab Navigation Guide</w:t>
      </w:r>
    </w:p>
    <w:p>
      <w:pPr>
        <w:pStyle w:val="Heading2"/>
        <w:shd w:fill="1556A0" w:val="clear"/>
        <w:spacing w:after="160" w:before="340"/>
        <w:ind w:left="120"/>
      </w:pPr>
      <w:r>
        <w:rPr>
          <w:rFonts w:ascii="Arial" w:cs="Arial" w:eastAsia="Arial" w:hAnsi="Arial"/>
          <w:b/>
          <w:bCs/>
          <w:color w:val="FFFFFF"/>
          <w:sz w:val="28"/>
          <w:szCs w:val="28"/>
        </w:rPr>
        <w:t xml:space="preserve">4.1  Home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Home tab is the landing page of the application. It provides a brief introduction, feature highlights, and direct shortcuts to the two most-used tabs.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Hero Section</w:t>
      </w:r>
    </w:p>
    <w:p>
      <w:pPr>
        <w:spacing w:after="160" w:before="40"/>
      </w:pPr>
      <w:r>
        <w:rPr>
          <w:rFonts w:ascii="Arial" w:cs="Arial" w:eastAsia="Arial" w:hAnsi="Arial"/>
          <w:color w:val="0C2340"/>
          <w:sz w:val="22"/>
          <w:szCs w:val="22"/>
        </w:rPr>
        <w:t xml:space="preserve">At the top of the Home tab, the hero section displays the application title, a subtitle, and four feature chips that summarise the platform's scientific foundations: Beer-Lambert Law, Michaelis-Menten, Multi-ROI Support, and Offline-Ready.</w:t>
      </w:r>
    </w:p>
    <w:p>
      <w:pPr>
        <w:pStyle w:val="Heading3"/>
        <w:pBdr>
          <w:bottom w:val="single" w:color="1E78D4" w:sz="4" w:space="2"/>
        </w:pBdr>
        <w:spacing w:after="120" w:before="280"/>
      </w:pPr>
      <w:r>
        <w:rPr>
          <w:rFonts w:ascii="Arial" w:cs="Arial" w:eastAsia="Arial" w:hAnsi="Arial"/>
          <w:b/>
          <w:bCs/>
          <w:color w:val="0C2340"/>
          <w:sz w:val="24"/>
          <w:szCs w:val="24"/>
        </w:rPr>
        <w:t xml:space="preserve">Feature Strip</w:t>
      </w:r>
    </w:p>
    <w:p>
      <w:pPr>
        <w:spacing w:after="160" w:before="40"/>
      </w:pPr>
      <w:r>
        <w:rPr>
          <w:rFonts w:ascii="Arial" w:cs="Arial" w:eastAsia="Arial" w:hAnsi="Arial"/>
          <w:color w:val="0C2340"/>
          <w:sz w:val="22"/>
          <w:szCs w:val="22"/>
        </w:rPr>
        <w:t xml:space="preserve">Below the hero, three feature mini-cards provide a visual summary of the core capabilities: ROI Selection, Histogram Analysis, and Calibration Models.</w:t>
      </w:r>
    </w:p>
    <w:p>
      <w:pPr>
        <w:pStyle w:val="Heading3"/>
        <w:pBdr>
          <w:bottom w:val="single" w:color="1E78D4" w:sz="4" w:space="2"/>
        </w:pBdr>
        <w:spacing w:after="120" w:before="280"/>
      </w:pPr>
      <w:r>
        <w:rPr>
          <w:rFonts w:ascii="Arial" w:cs="Arial" w:eastAsia="Arial" w:hAnsi="Arial"/>
          <w:b/>
          <w:bCs/>
          <w:color w:val="0C2340"/>
          <w:sz w:val="24"/>
          <w:szCs w:val="24"/>
        </w:rPr>
        <w:t xml:space="preserve">Quick-Start Cards</w:t>
      </w:r>
    </w:p>
    <w:p>
      <w:pPr>
        <w:spacing w:after="160" w:before="40"/>
      </w:pPr>
      <w:r>
        <w:rPr>
          <w:rFonts w:ascii="Arial" w:cs="Arial" w:eastAsia="Arial" w:hAnsi="Arial"/>
          <w:color w:val="0C2340"/>
          <w:sz w:val="22"/>
          <w:szCs w:val="22"/>
        </w:rPr>
        <w:t xml:space="preserve">Two clickable cards provide immediate navigation shortcuts. Clicking the </w:t>
      </w:r>
      <w:r>
        <w:rPr>
          <w:rFonts w:ascii="Arial" w:cs="Arial" w:eastAsia="Arial" w:hAnsi="Arial"/>
          <w:b/>
          <w:bCs/>
          <w:color w:val="0C2340"/>
          <w:sz w:val="22"/>
          <w:szCs w:val="22"/>
        </w:rPr>
        <w:t xml:space="preserve">Upload Image</w:t>
      </w:r>
      <w:r>
        <w:rPr>
          <w:rFonts w:ascii="Arial" w:cs="Arial" w:eastAsia="Arial" w:hAnsi="Arial"/>
          <w:color w:val="0C2340"/>
          <w:sz w:val="22"/>
          <w:szCs w:val="22"/>
        </w:rPr>
        <w:t xml:space="preserve"> card jumps to the Image tab. Clicking </w:t>
      </w:r>
      <w:r>
        <w:rPr>
          <w:rFonts w:ascii="Arial" w:cs="Arial" w:eastAsia="Arial" w:hAnsi="Arial"/>
          <w:b/>
          <w:bCs/>
          <w:color w:val="0C2340"/>
          <w:sz w:val="22"/>
          <w:szCs w:val="22"/>
        </w:rPr>
        <w:t xml:space="preserve">Run Analysis</w:t>
      </w:r>
      <w:r>
        <w:rPr>
          <w:rFonts w:ascii="Arial" w:cs="Arial" w:eastAsia="Arial" w:hAnsi="Arial"/>
          <w:color w:val="0C2340"/>
          <w:sz w:val="22"/>
          <w:szCs w:val="22"/>
        </w:rPr>
        <w:t xml:space="preserve"> jumps to the Analysis tab.</w:t>
      </w:r>
    </w:p>
    <w:p>
      <w:pPr>
        <w:spacing w:after="80"/>
      </w:pPr>
      <w:r>
        <w:rPr>
          <w:rFonts w:ascii="Arial" w:cs="Arial" w:eastAsia="Arial" w:hAnsi="Arial"/>
          <w:color w:val="0C2340"/>
          <w:sz w:val="22"/>
          <w:szCs w:val="22"/>
        </w:rPr>
        <w:t xml:space="preserve"/>
      </w:r>
    </w:p>
    <w:p>
      <w:pPr>
        <w:pBdr>
          <w:left w:val="single" w:color="1E78D4" w:sz="12" w:space="4"/>
        </w:pBdr>
        <w:shd w:fill="E6FAF7" w:val="clear"/>
        <w:spacing w:after="160" w:before="120"/>
        <w:ind w:left="200" w:right="200"/>
      </w:pPr>
      <w:r>
        <w:rPr>
          <w:rFonts w:ascii="Arial" w:cs="Arial" w:eastAsia="Arial" w:hAnsi="Arial"/>
          <w:b w:val="false"/>
          <w:bCs w:val="false"/>
          <w:i/>
          <w:iCs/>
          <w:color w:val="0C3030"/>
          <w:sz w:val="20"/>
          <w:szCs w:val="20"/>
        </w:rPr>
        <w:t xml:space="preserve">💡 TIP:  The Home tab is the recommended starting point for new users. Review the feature chips and quick-start cards before proceeding to image upload.</w:t>
      </w:r>
    </w:p>
    <w:p>
      <w:pPr>
        <w:pStyle w:val="Heading2"/>
        <w:shd w:fill="1556A0" w:val="clear"/>
        <w:spacing w:after="160" w:before="340"/>
        <w:ind w:left="120"/>
      </w:pPr>
      <w:r>
        <w:rPr>
          <w:rFonts w:ascii="Arial" w:cs="Arial" w:eastAsia="Arial" w:hAnsi="Arial"/>
          <w:b/>
          <w:bCs/>
          <w:color w:val="FFFFFF"/>
          <w:sz w:val="28"/>
          <w:szCs w:val="28"/>
        </w:rPr>
        <w:t xml:space="preserve">4.2  Image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Image tab is the </w:t>
      </w:r>
      <w:r>
        <w:rPr>
          <w:rFonts w:ascii="Arial" w:cs="Arial" w:eastAsia="Arial" w:hAnsi="Arial"/>
          <w:b/>
          <w:bCs/>
          <w:color w:val="0C2340"/>
          <w:sz w:val="22"/>
          <w:szCs w:val="22"/>
        </w:rPr>
        <w:t xml:space="preserve">primary entry point</w:t>
      </w:r>
      <w:r>
        <w:rPr>
          <w:rFonts w:ascii="Arial" w:cs="Arial" w:eastAsia="Arial" w:hAnsi="Arial"/>
          <w:color w:val="0C2340"/>
          <w:sz w:val="22"/>
          <w:szCs w:val="22"/>
        </w:rPr>
        <w:t xml:space="preserve"> for all analyses. Here, users upload an image and draw rectangular Regions of Interest (ROIs) that will be sampled in subsequent steps.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Upload Zone</w:t>
      </w:r>
    </w:p>
    <w:p>
      <w:pPr>
        <w:spacing w:after="160" w:before="40"/>
      </w:pPr>
      <w:r>
        <w:rPr>
          <w:rFonts w:ascii="Arial" w:cs="Arial" w:eastAsia="Arial" w:hAnsi="Arial"/>
          <w:color w:val="0C2340"/>
          <w:sz w:val="22"/>
          <w:szCs w:val="22"/>
        </w:rPr>
        <w:t xml:space="preserve">The upload zone is a large dashed blue rectangle with an upload icon. Users can:</w:t>
      </w:r>
    </w:p>
    <w:p>
      <w:pPr>
        <w:pStyle w:val="ListParagraph"/>
        <w:numPr>
          <w:ilvl w:val="0"/>
          <w:numId w:val="2"/>
        </w:numPr>
        <w:spacing w:after="100" w:before="40"/>
      </w:pPr>
      <w:r>
        <w:rPr>
          <w:rFonts w:ascii="Arial" w:cs="Arial" w:eastAsia="Arial" w:hAnsi="Arial"/>
          <w:color w:val="0C2340"/>
          <w:sz w:val="22"/>
          <w:szCs w:val="22"/>
        </w:rPr>
        <w:t xml:space="preserve">Click or tap the zone to open the device file picker (accepts JPG, PNG, BMP, WEBP).</w:t>
      </w:r>
    </w:p>
    <w:p>
      <w:pPr>
        <w:pStyle w:val="ListParagraph"/>
        <w:numPr>
          <w:ilvl w:val="0"/>
          <w:numId w:val="2"/>
        </w:numPr>
        <w:spacing w:after="100" w:before="40"/>
      </w:pPr>
      <w:r>
        <w:rPr>
          <w:rFonts w:ascii="Arial" w:cs="Arial" w:eastAsia="Arial" w:hAnsi="Arial"/>
          <w:color w:val="0C2340"/>
          <w:sz w:val="22"/>
          <w:szCs w:val="22"/>
        </w:rPr>
        <w:t xml:space="preserve">Drag and drop an image file directly onto the zone.</w:t>
      </w:r>
    </w:p>
    <w:p>
      <w:pPr>
        <w:spacing w:after="160" w:before="40"/>
      </w:pPr>
      <w:r>
        <w:rPr>
          <w:rFonts w:ascii="Arial" w:cs="Arial" w:eastAsia="Arial" w:hAnsi="Arial"/>
          <w:color w:val="0C2340"/>
          <w:sz w:val="22"/>
          <w:szCs w:val="22"/>
        </w:rPr>
        <w:t xml:space="preserve">Once loaded, the image is rendered on the canvas and the upload zone is hidden.</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Image Canvas</w:t>
      </w:r>
    </w:p>
    <w:p>
      <w:pPr>
        <w:spacing w:after="160" w:before="40"/>
      </w:pPr>
      <w:r>
        <w:rPr>
          <w:rFonts w:ascii="Arial" w:cs="Arial" w:eastAsia="Arial" w:hAnsi="Arial"/>
          <w:color w:val="0C2340"/>
          <w:sz w:val="22"/>
          <w:szCs w:val="22"/>
        </w:rPr>
        <w:t xml:space="preserve">The image appears within a dual-canvas system:</w:t>
      </w:r>
    </w:p>
    <w:p>
      <w:pPr>
        <w:pStyle w:val="ListParagraph"/>
        <w:numPr>
          <w:ilvl w:val="0"/>
          <w:numId w:val="2"/>
        </w:numPr>
        <w:spacing w:after="100" w:before="40"/>
      </w:pPr>
      <w:r>
        <w:rPr>
          <w:rFonts w:ascii="Arial" w:cs="Arial" w:eastAsia="Arial" w:hAnsi="Arial"/>
          <w:color w:val="0C2340"/>
          <w:sz w:val="22"/>
          <w:szCs w:val="22"/>
        </w:rPr>
        <w:t xml:space="preserve">[object Object] — holds the static image pixels, used for colour extraction.</w:t>
      </w:r>
    </w:p>
    <w:p>
      <w:pPr>
        <w:pStyle w:val="ListParagraph"/>
        <w:numPr>
          <w:ilvl w:val="0"/>
          <w:numId w:val="2"/>
        </w:numPr>
        <w:spacing w:after="100" w:before="40"/>
      </w:pPr>
      <w:r>
        <w:rPr>
          <w:rFonts w:ascii="Arial" w:cs="Arial" w:eastAsia="Arial" w:hAnsi="Arial"/>
          <w:color w:val="0C2340"/>
          <w:sz w:val="22"/>
          <w:szCs w:val="22"/>
        </w:rPr>
        <w:t xml:space="preserve">[object Object] — transparent layer drawn on top, used for rendering ROI rectangles and the live drag selection box.</w:t>
      </w:r>
    </w:p>
    <w:p>
      <w:pPr>
        <w:spacing w:after="160" w:before="40"/>
      </w:pPr>
      <w:r>
        <w:rPr>
          <w:rFonts w:ascii="Arial" w:cs="Arial" w:eastAsia="Arial" w:hAnsi="Arial"/>
          <w:color w:val="0C2340"/>
          <w:sz w:val="22"/>
          <w:szCs w:val="22"/>
        </w:rPr>
        <w:t xml:space="preserve">The canvas is automatically scaled to fit the available screen width (maximum 800 px) while maintaining the image's original aspect ratio.</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Select Region Button</w:t>
      </w:r>
    </w:p>
    <w:p>
      <w:pPr>
        <w:spacing w:after="160" w:before="40"/>
      </w:pPr>
      <w:r>
        <w:rPr>
          <w:rFonts w:ascii="Arial" w:cs="Arial" w:eastAsia="Arial" w:hAnsi="Arial"/>
          <w:color w:val="0C2340"/>
          <w:sz w:val="22"/>
          <w:szCs w:val="22"/>
        </w:rPr>
        <w:t xml:space="preserve">Clicking </w:t>
      </w:r>
      <w:r>
        <w:rPr>
          <w:rFonts w:ascii="Arial" w:cs="Arial" w:eastAsia="Arial" w:hAnsi="Arial"/>
          <w:b/>
          <w:bCs/>
          <w:color w:val="0C2340"/>
          <w:sz w:val="22"/>
          <w:szCs w:val="22"/>
        </w:rPr>
        <w:t xml:space="preserve">Select Region</w:t>
      </w:r>
      <w:r>
        <w:rPr>
          <w:rFonts w:ascii="Arial" w:cs="Arial" w:eastAsia="Arial" w:hAnsi="Arial"/>
          <w:color w:val="0C2340"/>
          <w:sz w:val="22"/>
          <w:szCs w:val="22"/>
        </w:rPr>
        <w:t xml:space="preserve"> activates drawing mode. In this mode:</w:t>
      </w:r>
    </w:p>
    <w:p>
      <w:pPr>
        <w:pStyle w:val="ListParagraph"/>
        <w:numPr>
          <w:ilvl w:val="0"/>
          <w:numId w:val="2"/>
        </w:numPr>
        <w:spacing w:after="100" w:before="40"/>
      </w:pPr>
      <w:r>
        <w:rPr>
          <w:rFonts w:ascii="Arial" w:cs="Arial" w:eastAsia="Arial" w:hAnsi="Arial"/>
          <w:color w:val="0C2340"/>
          <w:sz w:val="22"/>
          <w:szCs w:val="22"/>
        </w:rPr>
        <w:t xml:space="preserve">The "Draw Mode" bar appears at the top of the screen.</w:t>
      </w:r>
    </w:p>
    <w:p>
      <w:pPr>
        <w:pStyle w:val="ListParagraph"/>
        <w:numPr>
          <w:ilvl w:val="0"/>
          <w:numId w:val="2"/>
        </w:numPr>
        <w:spacing w:after="100" w:before="40"/>
      </w:pPr>
      <w:r>
        <w:rPr>
          <w:rFonts w:ascii="Arial" w:cs="Arial" w:eastAsia="Arial" w:hAnsi="Arial"/>
          <w:color w:val="0C2340"/>
          <w:sz w:val="22"/>
          <w:szCs w:val="22"/>
        </w:rPr>
        <w:t xml:space="preserve">Pressing and dragging on the canvas draws a rectangle (works with mouse and touch).</w:t>
      </w:r>
    </w:p>
    <w:p>
      <w:pPr>
        <w:pStyle w:val="ListParagraph"/>
        <w:numPr>
          <w:ilvl w:val="0"/>
          <w:numId w:val="2"/>
        </w:numPr>
        <w:spacing w:after="100" w:before="40"/>
      </w:pPr>
      <w:r>
        <w:rPr>
          <w:rFonts w:ascii="Arial" w:cs="Arial" w:eastAsia="Arial" w:hAnsi="Arial"/>
          <w:color w:val="0C2340"/>
          <w:sz w:val="22"/>
          <w:szCs w:val="22"/>
        </w:rPr>
        <w:t xml:space="preserve">Releasing the pointer finalises the rectangle and opens the Label Modal.</w:t>
      </w:r>
    </w:p>
    <w:p>
      <w:pPr>
        <w:pStyle w:val="ListParagraph"/>
        <w:numPr>
          <w:ilvl w:val="0"/>
          <w:numId w:val="2"/>
        </w:numPr>
        <w:spacing w:after="100" w:before="40"/>
      </w:pPr>
      <w:r>
        <w:rPr>
          <w:rFonts w:ascii="Arial" w:cs="Arial" w:eastAsia="Arial" w:hAnsi="Arial"/>
          <w:color w:val="0C2340"/>
          <w:sz w:val="22"/>
          <w:szCs w:val="22"/>
        </w:rPr>
        <w:t xml:space="preserve">Any drag shorter than 5 pixels is discarded to prevent accidental micro-regions.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Label Modal</w:t>
      </w:r>
    </w:p>
    <w:p>
      <w:pPr>
        <w:spacing w:after="160" w:before="40"/>
      </w:pPr>
      <w:r>
        <w:rPr>
          <w:rFonts w:ascii="Arial" w:cs="Arial" w:eastAsia="Arial" w:hAnsi="Arial"/>
          <w:color w:val="0C2340"/>
          <w:sz w:val="22"/>
          <w:szCs w:val="22"/>
        </w:rPr>
        <w:t xml:space="preserve">After drawing a region, the Label Modal appears and prompts the user to:</w:t>
      </w:r>
    </w:p>
    <w:p>
      <w:pPr>
        <w:pStyle w:val="ListParagraph"/>
        <w:numPr>
          <w:ilvl w:val="0"/>
          <w:numId w:val="2"/>
        </w:numPr>
        <w:spacing w:after="100" w:before="40"/>
      </w:pPr>
      <w:r>
        <w:rPr>
          <w:rFonts w:ascii="Arial" w:cs="Arial" w:eastAsia="Arial" w:hAnsi="Arial"/>
          <w:color w:val="0C2340"/>
          <w:sz w:val="22"/>
          <w:szCs w:val="22"/>
        </w:rPr>
        <w:t xml:space="preserve">[object Object] — type a descriptive name (e.g., "Blank", "Sample A", "Standard 1"). The app auto-suggests names based on existing regions.</w:t>
      </w:r>
    </w:p>
    <w:p>
      <w:pPr>
        <w:pStyle w:val="ListParagraph"/>
        <w:numPr>
          <w:ilvl w:val="0"/>
          <w:numId w:val="2"/>
        </w:numPr>
        <w:spacing w:after="100" w:before="40"/>
      </w:pPr>
      <w:r>
        <w:rPr>
          <w:rFonts w:ascii="Arial" w:cs="Arial" w:eastAsia="Arial" w:hAnsi="Arial"/>
          <w:color w:val="0C2340"/>
          <w:sz w:val="22"/>
          <w:szCs w:val="22"/>
        </w:rPr>
        <w:t xml:space="preserve">[object Object] — choose from Sample, Blank, or Standard (see Section 5 for the importance of these types).</w:t>
      </w:r>
    </w:p>
    <w:p>
      <w:pPr>
        <w:spacing w:after="160" w:before="40"/>
      </w:pPr>
      <w:r>
        <w:rPr>
          <w:rFonts w:ascii="Arial" w:cs="Arial" w:eastAsia="Arial" w:hAnsi="Arial"/>
          <w:color w:val="0C2340"/>
          <w:sz w:val="22"/>
          <w:szCs w:val="22"/>
        </w:rPr>
        <w:t xml:space="preserve">Clicking </w:t>
      </w:r>
      <w:r>
        <w:rPr>
          <w:rFonts w:ascii="Arial" w:cs="Arial" w:eastAsia="Arial" w:hAnsi="Arial"/>
          <w:b/>
          <w:bCs/>
          <w:color w:val="0C2340"/>
          <w:sz w:val="22"/>
          <w:szCs w:val="22"/>
        </w:rPr>
        <w:t xml:space="preserve">Confirm</w:t>
      </w:r>
      <w:r>
        <w:rPr>
          <w:rFonts w:ascii="Arial" w:cs="Arial" w:eastAsia="Arial" w:hAnsi="Arial"/>
          <w:color w:val="0C2340"/>
          <w:sz w:val="22"/>
          <w:szCs w:val="22"/>
        </w:rPr>
        <w:t xml:space="preserve"> saves the region. Clicking </w:t>
      </w:r>
      <w:r>
        <w:rPr>
          <w:rFonts w:ascii="Arial" w:cs="Arial" w:eastAsia="Arial" w:hAnsi="Arial"/>
          <w:b/>
          <w:bCs/>
          <w:color w:val="0C2340"/>
          <w:sz w:val="22"/>
          <w:szCs w:val="22"/>
        </w:rPr>
        <w:t xml:space="preserve">Cancel</w:t>
      </w:r>
      <w:r>
        <w:rPr>
          <w:rFonts w:ascii="Arial" w:cs="Arial" w:eastAsia="Arial" w:hAnsi="Arial"/>
          <w:color w:val="0C2340"/>
          <w:sz w:val="22"/>
          <w:szCs w:val="22"/>
        </w:rPr>
        <w:t xml:space="preserve"> discards it.</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Clear Button</w:t>
      </w:r>
    </w:p>
    <w:p>
      <w:pPr>
        <w:spacing w:after="160" w:before="40"/>
      </w:pPr>
      <w:r>
        <w:rPr>
          <w:rFonts w:ascii="Arial" w:cs="Arial" w:eastAsia="Arial" w:hAnsi="Arial"/>
          <w:color w:val="0C2340"/>
          <w:sz w:val="22"/>
          <w:szCs w:val="22"/>
        </w:rPr>
        <w:t xml:space="preserve">The </w:t>
      </w:r>
      <w:r>
        <w:rPr>
          <w:rFonts w:ascii="Arial" w:cs="Arial" w:eastAsia="Arial" w:hAnsi="Arial"/>
          <w:b/>
          <w:bCs/>
          <w:color w:val="0C2340"/>
          <w:sz w:val="22"/>
          <w:szCs w:val="22"/>
        </w:rPr>
        <w:t xml:space="preserve">🗑️ Clear</w:t>
      </w:r>
      <w:r>
        <w:rPr>
          <w:rFonts w:ascii="Arial" w:cs="Arial" w:eastAsia="Arial" w:hAnsi="Arial"/>
          <w:color w:val="0C2340"/>
          <w:sz w:val="22"/>
          <w:szCs w:val="22"/>
        </w:rPr>
        <w:t xml:space="preserve"> button removes the loaded image and all defined regions, resetting the canvas to its initial state.</w:t>
      </w:r>
    </w:p>
    <w:p>
      <w:pPr>
        <w:pBdr>
          <w:left w:val="single" w:color="1E78D4" w:sz="12" w:space="4"/>
        </w:pBdr>
        <w:shd w:fill="FFF8E1" w:val="clear"/>
        <w:spacing w:after="160" w:before="120"/>
        <w:ind w:left="200" w:right="200"/>
      </w:pPr>
      <w:r>
        <w:rPr>
          <w:rFonts w:ascii="Arial" w:cs="Arial" w:eastAsia="Arial" w:hAnsi="Arial"/>
          <w:b/>
          <w:bCs/>
          <w:i w:val="false"/>
          <w:iCs w:val="false"/>
          <w:color w:val="5A3800"/>
          <w:sz w:val="20"/>
          <w:szCs w:val="20"/>
        </w:rPr>
        <w:t xml:space="preserve">⚠ IMPORTANT:  Clearing the image also clears all regions. Export or note any results before clearing.</w:t>
      </w:r>
    </w:p>
    <w:p>
      <w:pPr>
        <w:pStyle w:val="Heading2"/>
        <w:shd w:fill="1556A0" w:val="clear"/>
        <w:spacing w:after="160" w:before="340"/>
        <w:ind w:left="120"/>
      </w:pPr>
      <w:r>
        <w:rPr>
          <w:rFonts w:ascii="Arial" w:cs="Arial" w:eastAsia="Arial" w:hAnsi="Arial"/>
          <w:b/>
          <w:bCs/>
          <w:color w:val="FFFFFF"/>
          <w:sz w:val="28"/>
          <w:szCs w:val="28"/>
        </w:rPr>
        <w:t xml:space="preserve">4.3  Regions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Regions tab provides a management view of all defined ROIs. Each region entry displays:</w:t>
      </w:r>
    </w:p>
    <w:p>
      <w:pPr>
        <w:pStyle w:val="ListParagraph"/>
        <w:numPr>
          <w:ilvl w:val="0"/>
          <w:numId w:val="2"/>
        </w:numPr>
        <w:spacing w:after="100" w:before="40"/>
      </w:pPr>
      <w:r>
        <w:rPr>
          <w:rFonts w:ascii="Arial" w:cs="Arial" w:eastAsia="Arial" w:hAnsi="Arial"/>
          <w:color w:val="0C2340"/>
          <w:sz w:val="22"/>
          <w:szCs w:val="22"/>
        </w:rPr>
        <w:t xml:space="preserve">A colour swatch showing the average HEX colour of the region.</w:t>
      </w:r>
    </w:p>
    <w:p>
      <w:pPr>
        <w:pStyle w:val="ListParagraph"/>
        <w:numPr>
          <w:ilvl w:val="0"/>
          <w:numId w:val="2"/>
        </w:numPr>
        <w:spacing w:after="100" w:before="40"/>
      </w:pPr>
      <w:r>
        <w:rPr>
          <w:rFonts w:ascii="Arial" w:cs="Arial" w:eastAsia="Arial" w:hAnsi="Arial"/>
          <w:color w:val="0C2340"/>
          <w:sz w:val="22"/>
          <w:szCs w:val="22"/>
        </w:rPr>
        <w:t xml:space="preserve">The region label and its type badge (Sample, Blank, or Standard).</w:t>
      </w:r>
    </w:p>
    <w:p>
      <w:pPr>
        <w:pStyle w:val="ListParagraph"/>
        <w:numPr>
          <w:ilvl w:val="0"/>
          <w:numId w:val="2"/>
        </w:numPr>
        <w:spacing w:after="100" w:before="40"/>
      </w:pPr>
      <w:r>
        <w:rPr>
          <w:rFonts w:ascii="Arial" w:cs="Arial" w:eastAsia="Arial" w:hAnsi="Arial"/>
          <w:color w:val="0C2340"/>
          <w:sz w:val="22"/>
          <w:szCs w:val="22"/>
        </w:rPr>
        <w:t xml:space="preserve">The average RGB values, HEX code, and grayscale intensity value.</w:t>
      </w:r>
    </w:p>
    <w:p>
      <w:pPr>
        <w:pStyle w:val="ListParagraph"/>
        <w:numPr>
          <w:ilvl w:val="0"/>
          <w:numId w:val="2"/>
        </w:numPr>
        <w:spacing w:after="100" w:before="40"/>
      </w:pPr>
      <w:r>
        <w:rPr>
          <w:rFonts w:ascii="Arial" w:cs="Arial" w:eastAsia="Arial" w:hAnsi="Arial"/>
          <w:color w:val="0C2340"/>
          <w:sz w:val="22"/>
          <w:szCs w:val="22"/>
        </w:rPr>
        <w:t xml:space="preserve">A normalised intensity bar (showing intensity as a proportion of the 0–255 scale).</w:t>
      </w:r>
    </w:p>
    <w:p>
      <w:pPr>
        <w:pStyle w:val="ListParagraph"/>
        <w:numPr>
          <w:ilvl w:val="0"/>
          <w:numId w:val="2"/>
        </w:numPr>
        <w:spacing w:after="100" w:before="40"/>
      </w:pPr>
      <w:r>
        <w:rPr>
          <w:rFonts w:ascii="Arial" w:cs="Arial" w:eastAsia="Arial" w:hAnsi="Arial"/>
          <w:color w:val="0C2340"/>
          <w:sz w:val="22"/>
          <w:szCs w:val="22"/>
        </w:rPr>
        <w:t xml:space="preserve">A delete button (✕) to remove that specific region.</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Region Summary Card</w:t>
      </w:r>
    </w:p>
    <w:p>
      <w:pPr>
        <w:spacing w:after="160" w:before="40"/>
      </w:pPr>
      <w:r>
        <w:rPr>
          <w:rFonts w:ascii="Arial" w:cs="Arial" w:eastAsia="Arial" w:hAnsi="Arial"/>
          <w:color w:val="0C2340"/>
          <w:sz w:val="22"/>
          <w:szCs w:val="22"/>
        </w:rPr>
        <w:t xml:space="preserve">Below the list, a metrics grid shows total counts: Total ROIs, Samples, Standards, and Blanks.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Action Buttons</w:t>
      </w:r>
    </w:p>
    <w:p>
      <w:pPr>
        <w:pStyle w:val="ListParagraph"/>
        <w:numPr>
          <w:ilvl w:val="0"/>
          <w:numId w:val="2"/>
        </w:numPr>
        <w:spacing w:after="100" w:before="40"/>
      </w:pPr>
      <w:r>
        <w:rPr>
          <w:rFonts w:ascii="Arial" w:cs="Arial" w:eastAsia="Arial" w:hAnsi="Arial"/>
          <w:color w:val="0C2340"/>
          <w:sz w:val="22"/>
          <w:szCs w:val="22"/>
        </w:rPr>
        <w:t xml:space="preserve">[object Object] — removes all regions at once.</w:t>
      </w:r>
    </w:p>
    <w:p>
      <w:pPr>
        <w:pStyle w:val="ListParagraph"/>
        <w:numPr>
          <w:ilvl w:val="0"/>
          <w:numId w:val="2"/>
        </w:numPr>
        <w:spacing w:after="100" w:before="40"/>
      </w:pPr>
      <w:r>
        <w:rPr>
          <w:rFonts w:ascii="Arial" w:cs="Arial" w:eastAsia="Arial" w:hAnsi="Arial"/>
          <w:color w:val="0C2340"/>
          <w:sz w:val="22"/>
          <w:szCs w:val="22"/>
        </w:rPr>
        <w:t xml:space="preserve">[object Object] — navigates directly to the Analysis tab and triggers analysis.</w:t>
      </w:r>
    </w:p>
    <w:p>
      <w:pPr>
        <w:pBdr>
          <w:left w:val="single" w:color="1E78D4" w:sz="12" w:space="4"/>
        </w:pBdr>
        <w:shd w:fill="FFF8E1" w:val="clear"/>
        <w:spacing w:after="160" w:before="120"/>
        <w:ind w:left="200" w:right="200"/>
      </w:pPr>
      <w:r>
        <w:rPr>
          <w:rFonts w:ascii="Arial" w:cs="Arial" w:eastAsia="Arial" w:hAnsi="Arial"/>
          <w:b/>
          <w:bCs/>
          <w:i w:val="false"/>
          <w:iCs w:val="false"/>
          <w:color w:val="5A3800"/>
          <w:sz w:val="20"/>
          <w:szCs w:val="20"/>
        </w:rPr>
        <w:t xml:space="preserve">⚠ IMPORTANT:  Use the Regions tab to verify that all regions are correctly labelled and typed before running any analysis. Incorrect types (e.g., labelling a blank as a sample) will produce invalid results.</w:t>
      </w:r>
    </w:p>
    <w:p>
      <w:pPr>
        <w:pStyle w:val="Heading2"/>
        <w:shd w:fill="1556A0" w:val="clear"/>
        <w:spacing w:after="160" w:before="340"/>
        <w:ind w:left="120"/>
      </w:pPr>
      <w:r>
        <w:rPr>
          <w:rFonts w:ascii="Arial" w:cs="Arial" w:eastAsia="Arial" w:hAnsi="Arial"/>
          <w:b/>
          <w:bCs/>
          <w:color w:val="FFFFFF"/>
          <w:sz w:val="28"/>
          <w:szCs w:val="28"/>
        </w:rPr>
        <w:t xml:space="preserve">4.4  Histogram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Histogram tab generates a 256-bin pixel intensity distribution chart for any selected region, providing a statistical view of the colour data within that area.</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Region Selector</w:t>
      </w:r>
    </w:p>
    <w:p>
      <w:pPr>
        <w:spacing w:after="160" w:before="40"/>
      </w:pPr>
      <w:r>
        <w:rPr>
          <w:rFonts w:ascii="Arial" w:cs="Arial" w:eastAsia="Arial" w:hAnsi="Arial"/>
          <w:color w:val="0C2340"/>
          <w:sz w:val="22"/>
          <w:szCs w:val="22"/>
        </w:rPr>
        <w:t xml:space="preserve">A dropdown menu lists all defined regions. Selecting a region immediately generates its histogram and statistical metrics.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Histogram Canvas</w:t>
      </w:r>
    </w:p>
    <w:p>
      <w:pPr>
        <w:spacing w:after="160" w:before="40"/>
      </w:pPr>
      <w:r>
        <w:rPr>
          <w:rFonts w:ascii="Arial" w:cs="Arial" w:eastAsia="Arial" w:hAnsi="Arial"/>
          <w:color w:val="0C2340"/>
          <w:sz w:val="22"/>
          <w:szCs w:val="22"/>
        </w:rPr>
        <w:t xml:space="preserve">The histogram is drawn on an HTML5 Canvas element with a dark background. The X-axis represents pixel intensity (0 = pure black, 255 = pure white). The Y-axis represents frequency (number of pixels at that intensity). The bar colour reflects the average colour of the region being analysed.</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Statistical Metrics Grid</w:t>
      </w:r>
    </w:p>
    <w:p>
      <w:pPr>
        <w:spacing w:after="160" w:before="40"/>
      </w:pPr>
      <w:r>
        <w:rPr>
          <w:rFonts w:ascii="Arial" w:cs="Arial" w:eastAsia="Arial" w:hAnsi="Arial"/>
          <w:color w:val="0C2340"/>
          <w:sz w:val="22"/>
          <w:szCs w:val="22"/>
        </w:rPr>
        <w:t xml:space="preserve">Below the histogram, a metrics grid displays quantitative statistics for the selected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Metric</w:t>
            </w:r>
          </w:p>
        </w:tc>
        <w:tc>
          <w:tcPr>
            <w:tcW w:type="dxa" w:w="73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Definition</w:t>
            </w:r>
          </w:p>
        </w:tc>
      </w:tr>
      <w:tr>
        <w:tc>
          <w:tcPr>
            <w:tcW w:type="dxa" w:w="20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Mean</w:t>
            </w:r>
          </w:p>
        </w:tc>
        <w:tc>
          <w:tcPr>
            <w:tcW w:type="dxa" w:w="73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Arithmetic average intensity across all pixels in the region</w:t>
            </w:r>
          </w:p>
        </w:tc>
      </w:tr>
      <w:tr>
        <w:tc>
          <w:tcPr>
            <w:tcW w:type="dxa" w:w="20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Median</w:t>
            </w:r>
          </w:p>
        </w:tc>
        <w:tc>
          <w:tcPr>
            <w:tcW w:type="dxa" w:w="73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Middle intensity value when all pixels are sorted — robust to outliers</w:t>
            </w:r>
          </w:p>
        </w:tc>
      </w:tr>
      <w:tr>
        <w:tc>
          <w:tcPr>
            <w:tcW w:type="dxa" w:w="20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Std Dev</w:t>
            </w:r>
          </w:p>
        </w:tc>
        <w:tc>
          <w:tcPr>
            <w:tcW w:type="dxa" w:w="73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Standard deviation — measures spread/uniformity of pixel intensities</w:t>
            </w:r>
          </w:p>
        </w:tc>
      </w:tr>
      <w:tr>
        <w:tc>
          <w:tcPr>
            <w:tcW w:type="dxa" w:w="20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w:t>
            </w:r>
          </w:p>
        </w:tc>
        <w:tc>
          <w:tcPr>
            <w:tcW w:type="dxa" w:w="73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Most frequently occurring intensity value</w:t>
            </w:r>
          </w:p>
        </w:tc>
      </w:tr>
      <w:tr>
        <w:tc>
          <w:tcPr>
            <w:tcW w:type="dxa" w:w="20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Min / Max</w:t>
            </w:r>
          </w:p>
        </w:tc>
        <w:tc>
          <w:tcPr>
            <w:tcW w:type="dxa" w:w="73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Lowest and highest intensity values present in the region</w:t>
            </w:r>
          </w:p>
        </w:tc>
      </w:tr>
      <w:tr>
        <w:tc>
          <w:tcPr>
            <w:tcW w:type="dxa" w:w="20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Count</w:t>
            </w:r>
          </w:p>
        </w:tc>
        <w:tc>
          <w:tcPr>
            <w:tcW w:type="dxa" w:w="73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Total number of pixels sampled within the region</w:t>
            </w:r>
          </w:p>
        </w:tc>
      </w:tr>
    </w:tbl>
    <w:p>
      <w:pPr>
        <w:spacing w:after="16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Comparative Histograms</w:t>
      </w:r>
    </w:p>
    <w:p>
      <w:pPr>
        <w:spacing w:after="160" w:before="40"/>
      </w:pPr>
      <w:r>
        <w:rPr>
          <w:rFonts w:ascii="Arial" w:cs="Arial" w:eastAsia="Arial" w:hAnsi="Arial"/>
          <w:color w:val="0C2340"/>
          <w:sz w:val="22"/>
          <w:szCs w:val="22"/>
        </w:rPr>
        <w:t xml:space="preserve">If multiple regions are defined, a comparative overlay section appears below the main histogram, displaying smaller individual histograms for every region side-by-side for visual comparison.</w:t>
      </w:r>
    </w:p>
    <w:p>
      <w:pPr>
        <w:pStyle w:val="Heading2"/>
        <w:shd w:fill="1556A0" w:val="clear"/>
        <w:spacing w:after="160" w:before="340"/>
        <w:ind w:left="120"/>
      </w:pPr>
      <w:r>
        <w:rPr>
          <w:rFonts w:ascii="Arial" w:cs="Arial" w:eastAsia="Arial" w:hAnsi="Arial"/>
          <w:b/>
          <w:bCs/>
          <w:color w:val="FFFFFF"/>
          <w:sz w:val="28"/>
          <w:szCs w:val="28"/>
        </w:rPr>
        <w:t xml:space="preserve">4.5  Analysis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Analysis tab is the scientific core of the application. Users select an analysis mode, configure its parameters, and execute the analysis to produce results.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Mode Selector</w:t>
      </w:r>
    </w:p>
    <w:p>
      <w:pPr>
        <w:spacing w:after="160" w:before="40"/>
      </w:pPr>
      <w:r>
        <w:rPr>
          <w:rFonts w:ascii="Arial" w:cs="Arial" w:eastAsia="Arial" w:hAnsi="Arial"/>
          <w:color w:val="0C2340"/>
          <w:sz w:val="22"/>
          <w:szCs w:val="22"/>
        </w:rPr>
        <w:t xml:space="preserve">Four analysis modes are available as selectable buttons. The currently active mode is highlighted in blue. Each mode is suited to a different experimental scenario (see Section 5 for full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5960"/>
      </w:tblGrid>
      <w:tr>
        <w:trPr>
          <w:tblHeader/>
        </w:trPr>
        <w:tc>
          <w:tcPr>
            <w:tcW w:type="dxa" w:w="10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Mode</w:t>
            </w:r>
          </w:p>
        </w:tc>
        <w:tc>
          <w:tcPr>
            <w:tcW w:type="dxa" w:w="2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Name</w:t>
            </w:r>
          </w:p>
        </w:tc>
        <w:tc>
          <w:tcPr>
            <w:tcW w:type="dxa" w:w="59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Use Case</w:t>
            </w:r>
          </w:p>
        </w:tc>
      </w:tr>
      <w:tr>
        <w:tc>
          <w:tcPr>
            <w:tcW w:type="dxa" w:w="10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 1</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Sample vs Sample</w:t>
            </w:r>
          </w:p>
        </w:tc>
        <w:tc>
          <w:tcPr>
            <w:tcW w:type="dxa" w:w="5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Qualitative ranking — no blank required</w:t>
            </w:r>
          </w:p>
        </w:tc>
      </w:tr>
      <w:tr>
        <w:tc>
          <w:tcPr>
            <w:tcW w:type="dxa" w:w="10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 2</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vs Blank</w:t>
            </w:r>
          </w:p>
        </w:tc>
        <w:tc>
          <w:tcPr>
            <w:tcW w:type="dxa" w:w="59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Background-corrected intensities and Beer-Lambert absorbance</w:t>
            </w:r>
          </w:p>
        </w:tc>
      </w:tr>
      <w:tr>
        <w:tc>
          <w:tcPr>
            <w:tcW w:type="dxa" w:w="10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 3</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Full Quantitative</w:t>
            </w:r>
          </w:p>
        </w:tc>
        <w:tc>
          <w:tcPr>
            <w:tcW w:type="dxa" w:w="59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Blank + Standards + calibration models → concentration</w:t>
            </w:r>
          </w:p>
        </w:tc>
      </w:tr>
      <w:tr>
        <w:tc>
          <w:tcPr>
            <w:tcW w:type="dxa" w:w="10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 4</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Multi-Blank Quant.</w:t>
            </w:r>
          </w:p>
        </w:tc>
        <w:tc>
          <w:tcPr>
            <w:tcW w:type="dxa" w:w="59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Multiple blanks averaged + Standards → concentration</w:t>
            </w:r>
          </w:p>
        </w:tc>
      </w:tr>
    </w:tbl>
    <w:p>
      <w:pPr>
        <w:spacing w:after="16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Mode Help Panel</w:t>
      </w:r>
    </w:p>
    <w:p>
      <w:pPr>
        <w:spacing w:after="160" w:before="40"/>
      </w:pPr>
      <w:r>
        <w:rPr>
          <w:rFonts w:ascii="Arial" w:cs="Arial" w:eastAsia="Arial" w:hAnsi="Arial"/>
          <w:color w:val="0C2340"/>
          <w:sz w:val="22"/>
          <w:szCs w:val="22"/>
        </w:rPr>
        <w:t xml:space="preserve">Each mode displays a contextual help panel (visible when selected) that explains what inputs are needed and what outputs will be produced.</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Blank Selector (Modes 2, 3, 4)</w:t>
      </w:r>
    </w:p>
    <w:p>
      <w:pPr>
        <w:spacing w:after="160" w:before="40"/>
      </w:pPr>
      <w:r>
        <w:rPr>
          <w:rFonts w:ascii="Arial" w:cs="Arial" w:eastAsia="Arial" w:hAnsi="Arial"/>
          <w:color w:val="0C2340"/>
          <w:sz w:val="22"/>
          <w:szCs w:val="22"/>
        </w:rPr>
        <w:t xml:space="preserve">A dropdown is populated with all regions typed as "Blank". Selecting a blank immediately enables the Beer-Lambert preview panel, which shows the real-time absorbance calculation (A = log₁₀(I_blank / I_sample)) for each sample region.</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Standard Concentrations Card (Modes 3 &amp; 4)</w:t>
      </w:r>
    </w:p>
    <w:p>
      <w:pPr>
        <w:spacing w:after="160" w:before="40"/>
      </w:pPr>
      <w:r>
        <w:rPr>
          <w:rFonts w:ascii="Arial" w:cs="Arial" w:eastAsia="Arial" w:hAnsi="Arial"/>
          <w:color w:val="0C2340"/>
          <w:sz w:val="22"/>
          <w:szCs w:val="22"/>
        </w:rPr>
        <w:t xml:space="preserve">For quantitative modes, an input field is generated for each region labelled as "Standard". Users must enter the known concentration for each standard (e.g., in mg/L). These values, combined with the extracted intensity values, are used to fit the regression models.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Regression Model Toggles</w:t>
      </w:r>
    </w:p>
    <w:p>
      <w:pPr>
        <w:spacing w:after="160" w:before="40"/>
      </w:pPr>
      <w:r>
        <w:rPr>
          <w:rFonts w:ascii="Arial" w:cs="Arial" w:eastAsia="Arial" w:hAnsi="Arial"/>
          <w:color w:val="0C2340"/>
          <w:sz w:val="22"/>
          <w:szCs w:val="22"/>
        </w:rPr>
        <w:t xml:space="preserve">Three toggle switches allow independent activation of the regression models:</w:t>
      </w:r>
    </w:p>
    <w:p>
      <w:pPr>
        <w:pStyle w:val="ListParagraph"/>
        <w:numPr>
          <w:ilvl w:val="0"/>
          <w:numId w:val="2"/>
        </w:numPr>
        <w:spacing w:after="100" w:before="40"/>
      </w:pPr>
      <w:r>
        <w:rPr>
          <w:rFonts w:ascii="Arial" w:cs="Arial" w:eastAsia="Arial" w:hAnsi="Arial"/>
          <w:color w:val="0C2340"/>
          <w:sz w:val="22"/>
          <w:szCs w:val="22"/>
        </w:rPr>
        <w:t xml:space="preserve">Linear Regression (y = mx + b)</w:t>
      </w:r>
    </w:p>
    <w:p>
      <w:pPr>
        <w:pStyle w:val="ListParagraph"/>
        <w:numPr>
          <w:ilvl w:val="0"/>
          <w:numId w:val="2"/>
        </w:numPr>
        <w:spacing w:after="100" w:before="40"/>
      </w:pPr>
      <w:r>
        <w:rPr>
          <w:rFonts w:ascii="Arial" w:cs="Arial" w:eastAsia="Arial" w:hAnsi="Arial"/>
          <w:color w:val="0C2340"/>
          <w:sz w:val="22"/>
          <w:szCs w:val="22"/>
        </w:rPr>
        <w:t xml:space="preserve">Logistic / Sigmoid Model</w:t>
      </w:r>
    </w:p>
    <w:p>
      <w:pPr>
        <w:pStyle w:val="ListParagraph"/>
        <w:numPr>
          <w:ilvl w:val="0"/>
          <w:numId w:val="2"/>
        </w:numPr>
        <w:spacing w:after="100" w:before="40"/>
      </w:pPr>
      <w:r>
        <w:rPr>
          <w:rFonts w:ascii="Arial" w:cs="Arial" w:eastAsia="Arial" w:hAnsi="Arial"/>
          <w:color w:val="0C2340"/>
          <w:sz w:val="22"/>
          <w:szCs w:val="22"/>
        </w:rPr>
        <w:t xml:space="preserve">Michaelis-Menten Model</w:t>
      </w:r>
    </w:p>
    <w:p>
      <w:pPr>
        <w:spacing w:after="160" w:before="40"/>
      </w:pPr>
      <w:r>
        <w:rPr>
          <w:rFonts w:ascii="Arial" w:cs="Arial" w:eastAsia="Arial" w:hAnsi="Arial"/>
          <w:color w:val="0C2340"/>
          <w:sz w:val="22"/>
          <w:szCs w:val="22"/>
        </w:rPr>
        <w:t xml:space="preserve">At least one model must be enabled. The model with the highest R² value is automatically designated as the "Best Fit" and used to calculate unknown sample concentrations.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Run Analysis Button</w:t>
      </w:r>
    </w:p>
    <w:p>
      <w:pPr>
        <w:spacing w:after="160" w:before="40"/>
      </w:pPr>
      <w:r>
        <w:rPr>
          <w:rFonts w:ascii="Arial" w:cs="Arial" w:eastAsia="Arial" w:hAnsi="Arial"/>
          <w:color w:val="0C2340"/>
          <w:sz w:val="22"/>
          <w:szCs w:val="22"/>
        </w:rPr>
        <w:t xml:space="preserve">Clicking </w:t>
      </w:r>
      <w:r>
        <w:rPr>
          <w:rFonts w:ascii="Arial" w:cs="Arial" w:eastAsia="Arial" w:hAnsi="Arial"/>
          <w:b/>
          <w:bCs/>
          <w:color w:val="0C2340"/>
          <w:sz w:val="22"/>
          <w:szCs w:val="22"/>
        </w:rPr>
        <w:t xml:space="preserve">▶ Run Analysis</w:t>
      </w:r>
      <w:r>
        <w:rPr>
          <w:rFonts w:ascii="Arial" w:cs="Arial" w:eastAsia="Arial" w:hAnsi="Arial"/>
          <w:color w:val="0C2340"/>
          <w:sz w:val="22"/>
          <w:szCs w:val="22"/>
        </w:rPr>
        <w:t xml:space="preserve"> validates all inputs, performs all computations, and navigates to the Results tab. The Calibration tab is also populated for Mode 3 and Mode 4.</w:t>
      </w:r>
    </w:p>
    <w:p>
      <w:pPr>
        <w:pStyle w:val="Heading2"/>
        <w:shd w:fill="1556A0" w:val="clear"/>
        <w:spacing w:after="160" w:before="340"/>
        <w:ind w:left="120"/>
      </w:pPr>
      <w:r>
        <w:rPr>
          <w:rFonts w:ascii="Arial" w:cs="Arial" w:eastAsia="Arial" w:hAnsi="Arial"/>
          <w:b/>
          <w:bCs/>
          <w:color w:val="FFFFFF"/>
          <w:sz w:val="28"/>
          <w:szCs w:val="28"/>
        </w:rPr>
        <w:t xml:space="preserve">4.6  Results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Results tab displays the complete analysis output as structured cards.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Summary Card</w:t>
      </w:r>
    </w:p>
    <w:p>
      <w:pPr>
        <w:spacing w:after="160" w:before="40"/>
      </w:pPr>
      <w:r>
        <w:rPr>
          <w:rFonts w:ascii="Arial" w:cs="Arial" w:eastAsia="Arial" w:hAnsi="Arial"/>
          <w:color w:val="0C2340"/>
          <w:sz w:val="22"/>
          <w:szCs w:val="22"/>
        </w:rPr>
        <w:t xml:space="preserve">A metrics grid shows: Total Samples, Mode used, whether a Blank was applied, and how many Standards were included.</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Beer-Lambert Absorbance Card (Modes 2, 3, 4)</w:t>
      </w:r>
    </w:p>
    <w:p>
      <w:pPr>
        <w:spacing w:after="160" w:before="40"/>
      </w:pPr>
      <w:r>
        <w:rPr>
          <w:rFonts w:ascii="Arial" w:cs="Arial" w:eastAsia="Arial" w:hAnsi="Arial"/>
          <w:color w:val="0C2340"/>
          <w:sz w:val="22"/>
          <w:szCs w:val="22"/>
        </w:rPr>
        <w:t xml:space="preserve">A table showing, for each sample: the blank intensity (I_blank), the sample intensity (I_sample), and the computed absorbance value (A). The formula is displayed as a header: A = log₁₀(I_blank / I_sample).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Sample Results Table</w:t>
      </w:r>
    </w:p>
    <w:p>
      <w:pPr>
        <w:spacing w:after="160" w:before="40"/>
      </w:pPr>
      <w:r>
        <w:rPr>
          <w:rFonts w:ascii="Arial" w:cs="Arial" w:eastAsia="Arial" w:hAnsi="Arial"/>
          <w:color w:val="0C2340"/>
          <w:sz w:val="22"/>
          <w:szCs w:val="22"/>
        </w:rPr>
        <w:t xml:space="preserve">The main results table adapts its columns based on the analysis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6060"/>
      </w:tblGrid>
      <w:tr>
        <w:trPr>
          <w:tblHeader/>
        </w:trPr>
        <w:tc>
          <w:tcPr>
            <w:tcW w:type="dxa" w:w="19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Column</w:t>
            </w:r>
          </w:p>
        </w:tc>
        <w:tc>
          <w:tcPr>
            <w:tcW w:type="dxa" w:w="1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Modes Present</w:t>
            </w:r>
          </w:p>
        </w:tc>
        <w:tc>
          <w:tcPr>
            <w:tcW w:type="dxa" w:w="60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Description</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Name</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All</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Region label as entered by the user</w:t>
            </w:r>
          </w:p>
        </w:tc>
      </w:tr>
      <w:tr>
        <w:tc>
          <w:tcPr>
            <w:tcW w:type="dxa" w:w="19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Type</w:t>
            </w:r>
          </w:p>
        </w:tc>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All</w:t>
            </w:r>
          </w:p>
        </w:tc>
        <w:tc>
          <w:tcPr>
            <w:tcW w:type="dxa" w:w="60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Colour-coded badge: Sample / Blank / Standard</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RGB</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All</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Average red, green, blue channel values (0–255 each)</w:t>
            </w:r>
          </w:p>
        </w:tc>
      </w:tr>
      <w:tr>
        <w:tc>
          <w:tcPr>
            <w:tcW w:type="dxa" w:w="19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HEX</w:t>
            </w:r>
          </w:p>
        </w:tc>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All</w:t>
            </w:r>
          </w:p>
        </w:tc>
        <w:tc>
          <w:tcPr>
            <w:tcW w:type="dxa" w:w="60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Average colour expressed as hexadecimal code</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Intensity</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All</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Grayscale intensity: 0.299R + 0.587G + 0.114B</w:t>
            </w:r>
          </w:p>
        </w:tc>
      </w:tr>
      <w:tr>
        <w:tc>
          <w:tcPr>
            <w:tcW w:type="dxa" w:w="19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Corr. Int.</w:t>
            </w:r>
          </w:p>
        </w:tc>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2, 3, 4</w:t>
            </w:r>
          </w:p>
        </w:tc>
        <w:tc>
          <w:tcPr>
            <w:tcW w:type="dxa" w:w="60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Background-corrected intensity after blank subtraction</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Absorbance</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2, 3</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Beer-Lambert absorbance (A)</w:t>
            </w:r>
          </w:p>
        </w:tc>
      </w:tr>
      <w:tr>
        <w:tc>
          <w:tcPr>
            <w:tcW w:type="dxa" w:w="19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Concentration</w:t>
            </w:r>
          </w:p>
        </w:tc>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3, 4</w:t>
            </w:r>
          </w:p>
        </w:tc>
        <w:tc>
          <w:tcPr>
            <w:tcW w:type="dxa" w:w="60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Back-calculated concentration from the best-fit model</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Model Used</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3, 4</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Name of the regression model that produced the concentration</w:t>
            </w:r>
          </w:p>
        </w:tc>
      </w:tr>
      <w:tr>
        <w:tc>
          <w:tcPr>
            <w:tcW w:type="dxa" w:w="19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Rank</w:t>
            </w:r>
          </w:p>
        </w:tc>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1 only</w:t>
            </w:r>
          </w:p>
        </w:tc>
        <w:tc>
          <w:tcPr>
            <w:tcW w:type="dxa" w:w="60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Ranking of samples by intensity (1 = highest)</w:t>
            </w:r>
          </w:p>
        </w:tc>
      </w:tr>
      <w:tr>
        <w:tc>
          <w:tcPr>
            <w:tcW w:type="dxa" w:w="19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Δ%</w:t>
            </w:r>
          </w:p>
        </w:tc>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1 only</w:t>
            </w:r>
          </w:p>
        </w:tc>
        <w:tc>
          <w:tcPr>
            <w:tcW w:type="dxa" w:w="60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Percentage difference between sample and the top-ranked sample</w:t>
            </w:r>
          </w:p>
        </w:tc>
      </w:tr>
    </w:tbl>
    <w:p>
      <w:pPr>
        <w:pStyle w:val="Heading2"/>
        <w:shd w:fill="1556A0" w:val="clear"/>
        <w:spacing w:after="160" w:before="340"/>
        <w:ind w:left="120"/>
      </w:pPr>
      <w:r>
        <w:rPr>
          <w:rFonts w:ascii="Arial" w:cs="Arial" w:eastAsia="Arial" w:hAnsi="Arial"/>
          <w:b/>
          <w:bCs/>
          <w:color w:val="FFFFFF"/>
          <w:sz w:val="28"/>
          <w:szCs w:val="28"/>
        </w:rPr>
        <w:t xml:space="preserve">4.7  Calibration Tab  (📈)</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The Calibration tab is populated automatically when a Mode 3 or Mode 4 analysis is run. It provides a visual and tabular representation of the calibration curve.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Calibration Curve Canvas</w:t>
      </w:r>
    </w:p>
    <w:p>
      <w:pPr>
        <w:spacing w:after="160" w:before="40"/>
      </w:pPr>
      <w:r>
        <w:rPr>
          <w:rFonts w:ascii="Arial" w:cs="Arial" w:eastAsia="Arial" w:hAnsi="Arial"/>
          <w:color w:val="0C2340"/>
          <w:sz w:val="22"/>
          <w:szCs w:val="22"/>
        </w:rPr>
        <w:t xml:space="preserve">The chart is rendered on an HTML5 Canvas with a dark background. The X-axis represents concentration, and the Y-axis represents intensity. The chart displays:</w:t>
      </w:r>
    </w:p>
    <w:p>
      <w:pPr>
        <w:pStyle w:val="ListParagraph"/>
        <w:numPr>
          <w:ilvl w:val="0"/>
          <w:numId w:val="2"/>
        </w:numPr>
        <w:spacing w:after="100" w:before="40"/>
      </w:pPr>
      <w:r>
        <w:rPr>
          <w:rFonts w:ascii="Arial" w:cs="Arial" w:eastAsia="Arial" w:hAnsi="Arial"/>
          <w:color w:val="0C2340"/>
          <w:sz w:val="22"/>
          <w:szCs w:val="22"/>
        </w:rPr>
        <w:t xml:space="preserve">Standard data points as filled blue circles.</w:t>
      </w:r>
    </w:p>
    <w:p>
      <w:pPr>
        <w:pStyle w:val="ListParagraph"/>
        <w:numPr>
          <w:ilvl w:val="0"/>
          <w:numId w:val="2"/>
        </w:numPr>
        <w:spacing w:after="100" w:before="40"/>
      </w:pPr>
      <w:r>
        <w:rPr>
          <w:rFonts w:ascii="Arial" w:cs="Arial" w:eastAsia="Arial" w:hAnsi="Arial"/>
          <w:color w:val="0C2340"/>
          <w:sz w:val="22"/>
          <w:szCs w:val="22"/>
        </w:rPr>
        <w:t xml:space="preserve">Sample data points as filled amber circles (at their back-calculated concentrations).</w:t>
      </w:r>
    </w:p>
    <w:p>
      <w:pPr>
        <w:pStyle w:val="ListParagraph"/>
        <w:numPr>
          <w:ilvl w:val="0"/>
          <w:numId w:val="2"/>
        </w:numPr>
        <w:spacing w:after="100" w:before="40"/>
      </w:pPr>
      <w:r>
        <w:rPr>
          <w:rFonts w:ascii="Arial" w:cs="Arial" w:eastAsia="Arial" w:hAnsi="Arial"/>
          <w:color w:val="0C2340"/>
          <w:sz w:val="22"/>
          <w:szCs w:val="22"/>
        </w:rPr>
        <w:t xml:space="preserve">A fitted curve for each enabled regression model, colour-coded and labelled in the legend. The best-fit model is drawn as a solid line; others as dashed lines.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Model Cards</w:t>
      </w:r>
    </w:p>
    <w:p>
      <w:pPr>
        <w:spacing w:after="160" w:before="40"/>
      </w:pPr>
      <w:r>
        <w:rPr>
          <w:rFonts w:ascii="Arial" w:cs="Arial" w:eastAsia="Arial" w:hAnsi="Arial"/>
          <w:color w:val="0C2340"/>
          <w:sz w:val="22"/>
          <w:szCs w:val="22"/>
        </w:rPr>
        <w:t xml:space="preserve">Below the chart, one card is generated per fitted model, showing:</w:t>
      </w:r>
    </w:p>
    <w:p>
      <w:pPr>
        <w:pStyle w:val="ListParagraph"/>
        <w:numPr>
          <w:ilvl w:val="0"/>
          <w:numId w:val="2"/>
        </w:numPr>
        <w:spacing w:after="100" w:before="40"/>
      </w:pPr>
      <w:r>
        <w:rPr>
          <w:rFonts w:ascii="Arial" w:cs="Arial" w:eastAsia="Arial" w:hAnsi="Arial"/>
          <w:color w:val="0C2340"/>
          <w:sz w:val="22"/>
          <w:szCs w:val="22"/>
        </w:rPr>
        <w:t xml:space="preserve">Model type (Linear, Logistic/Sigmoid, or Michaelis-Menten).</w:t>
      </w:r>
    </w:p>
    <w:p>
      <w:pPr>
        <w:pStyle w:val="ListParagraph"/>
        <w:numPr>
          <w:ilvl w:val="0"/>
          <w:numId w:val="2"/>
        </w:numPr>
        <w:spacing w:after="100" w:before="40"/>
      </w:pPr>
      <w:r>
        <w:rPr>
          <w:rFonts w:ascii="Arial" w:cs="Arial" w:eastAsia="Arial" w:hAnsi="Arial"/>
          <w:color w:val="0C2340"/>
          <w:sz w:val="22"/>
          <w:szCs w:val="22"/>
        </w:rPr>
        <w:t xml:space="preserve">The equation string (e.g., y = 1.25x + 4.8).</w:t>
      </w:r>
    </w:p>
    <w:p>
      <w:pPr>
        <w:pStyle w:val="ListParagraph"/>
        <w:numPr>
          <w:ilvl w:val="0"/>
          <w:numId w:val="2"/>
        </w:numPr>
        <w:spacing w:after="100" w:before="40"/>
      </w:pPr>
      <w:r>
        <w:rPr>
          <w:rFonts w:ascii="Arial" w:cs="Arial" w:eastAsia="Arial" w:hAnsi="Arial"/>
          <w:color w:val="0C2340"/>
          <w:sz w:val="22"/>
          <w:szCs w:val="22"/>
        </w:rPr>
        <w:t xml:space="preserve">R² (coefficient of determination) and RMSE (root-mean-square error).</w:t>
      </w:r>
    </w:p>
    <w:p>
      <w:pPr>
        <w:pStyle w:val="ListParagraph"/>
        <w:numPr>
          <w:ilvl w:val="0"/>
          <w:numId w:val="2"/>
        </w:numPr>
        <w:spacing w:after="100" w:before="40"/>
      </w:pPr>
      <w:r>
        <w:rPr>
          <w:rFonts w:ascii="Arial" w:cs="Arial" w:eastAsia="Arial" w:hAnsi="Arial"/>
          <w:color w:val="0C2340"/>
          <w:sz w:val="22"/>
          <w:szCs w:val="22"/>
        </w:rPr>
        <w:t xml:space="preserve">A "★ Best Fit" badge on the model with the highest R².</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Concentration Results Table</w:t>
      </w:r>
    </w:p>
    <w:p>
      <w:pPr>
        <w:spacing w:after="160" w:before="40"/>
      </w:pPr>
      <w:r>
        <w:rPr>
          <w:rFonts w:ascii="Arial" w:cs="Arial" w:eastAsia="Arial" w:hAnsi="Arial"/>
          <w:color w:val="0C2340"/>
          <w:sz w:val="22"/>
          <w:szCs w:val="22"/>
        </w:rPr>
        <w:t xml:space="preserve">A summary table lists all sample and standard regions with columns for raw intensity, corrected intensity, absorbance, calculated concentration, and the model used.</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5.  Analysis Modes — Detailed Reference</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5.1  Mode 1: Sample vs Sample (Qualitative Ranking)</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Mode 1 is the simplest analysis mode. It requires no blank or standard regions — only sample regions. The application ranks all samples by their grayscale intensity from highest to lowest and computes the percentage difference relative to the top-ranked sample.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Required Inputs</w:t>
      </w:r>
    </w:p>
    <w:p>
      <w:pPr>
        <w:pStyle w:val="ListParagraph"/>
        <w:numPr>
          <w:ilvl w:val="0"/>
          <w:numId w:val="2"/>
        </w:numPr>
        <w:spacing w:after="100" w:before="40"/>
      </w:pPr>
      <w:r>
        <w:rPr>
          <w:rFonts w:ascii="Arial" w:cs="Arial" w:eastAsia="Arial" w:hAnsi="Arial"/>
          <w:color w:val="0C2340"/>
          <w:sz w:val="22"/>
          <w:szCs w:val="22"/>
        </w:rPr>
        <w:t xml:space="preserve">At least two regions labelled as "Sample".</w:t>
      </w:r>
    </w:p>
    <w:p>
      <w:pPr>
        <w:pStyle w:val="Heading3"/>
        <w:pBdr>
          <w:bottom w:val="single" w:color="1E78D4" w:sz="4" w:space="2"/>
        </w:pBdr>
        <w:spacing w:after="120" w:before="280"/>
      </w:pPr>
      <w:r>
        <w:rPr>
          <w:rFonts w:ascii="Arial" w:cs="Arial" w:eastAsia="Arial" w:hAnsi="Arial"/>
          <w:b/>
          <w:bCs/>
          <w:color w:val="0C2340"/>
          <w:sz w:val="24"/>
          <w:szCs w:val="24"/>
        </w:rPr>
        <w:t xml:space="preserve">Outputs</w:t>
      </w:r>
    </w:p>
    <w:p>
      <w:pPr>
        <w:pStyle w:val="ListParagraph"/>
        <w:numPr>
          <w:ilvl w:val="0"/>
          <w:numId w:val="2"/>
        </w:numPr>
        <w:spacing w:after="100" w:before="40"/>
      </w:pPr>
      <w:r>
        <w:rPr>
          <w:rFonts w:ascii="Arial" w:cs="Arial" w:eastAsia="Arial" w:hAnsi="Arial"/>
          <w:color w:val="0C2340"/>
          <w:sz w:val="22"/>
          <w:szCs w:val="22"/>
        </w:rPr>
        <w:t xml:space="preserve">Rank (1 = brightest / highest intensity).</w:t>
      </w:r>
    </w:p>
    <w:p>
      <w:pPr>
        <w:pStyle w:val="ListParagraph"/>
        <w:numPr>
          <w:ilvl w:val="0"/>
          <w:numId w:val="2"/>
        </w:numPr>
        <w:spacing w:after="100" w:before="40"/>
      </w:pPr>
      <w:r>
        <w:rPr>
          <w:rFonts w:ascii="Arial" w:cs="Arial" w:eastAsia="Arial" w:hAnsi="Arial"/>
          <w:color w:val="0C2340"/>
          <w:sz w:val="22"/>
          <w:szCs w:val="22"/>
        </w:rPr>
        <w:t xml:space="preserve">Percentage difference (Δ%) relative to Rank 1.</w:t>
      </w:r>
    </w:p>
    <w:p>
      <w:pPr>
        <w:pStyle w:val="ListParagraph"/>
        <w:numPr>
          <w:ilvl w:val="0"/>
          <w:numId w:val="2"/>
        </w:numPr>
        <w:spacing w:after="100" w:before="40"/>
      </w:pPr>
      <w:r>
        <w:rPr>
          <w:rFonts w:ascii="Arial" w:cs="Arial" w:eastAsia="Arial" w:hAnsi="Arial"/>
          <w:color w:val="0C2340"/>
          <w:sz w:val="22"/>
          <w:szCs w:val="22"/>
        </w:rPr>
        <w:t xml:space="preserve">RGB, HEX, and intensity values for all samples.</w:t>
      </w:r>
    </w:p>
    <w:p>
      <w:pPr>
        <w:pStyle w:val="Heading3"/>
        <w:pBdr>
          <w:bottom w:val="single" w:color="1E78D4" w:sz="4" w:space="2"/>
        </w:pBdr>
        <w:spacing w:after="120" w:before="280"/>
      </w:pPr>
      <w:r>
        <w:rPr>
          <w:rFonts w:ascii="Arial" w:cs="Arial" w:eastAsia="Arial" w:hAnsi="Arial"/>
          <w:b/>
          <w:bCs/>
          <w:color w:val="0C2340"/>
          <w:sz w:val="24"/>
          <w:szCs w:val="24"/>
        </w:rPr>
        <w:t xml:space="preserve">Typical Use Cases</w:t>
      </w:r>
    </w:p>
    <w:p>
      <w:pPr>
        <w:pStyle w:val="ListParagraph"/>
        <w:numPr>
          <w:ilvl w:val="0"/>
          <w:numId w:val="2"/>
        </w:numPr>
        <w:spacing w:after="100" w:before="40"/>
      </w:pPr>
      <w:r>
        <w:rPr>
          <w:rFonts w:ascii="Arial" w:cs="Arial" w:eastAsia="Arial" w:hAnsi="Arial"/>
          <w:color w:val="0C2340"/>
          <w:sz w:val="22"/>
          <w:szCs w:val="22"/>
        </w:rPr>
        <w:t xml:space="preserve">Rapid visual comparison of colour intensities between multiple test strips.</w:t>
      </w:r>
    </w:p>
    <w:p>
      <w:pPr>
        <w:pStyle w:val="ListParagraph"/>
        <w:numPr>
          <w:ilvl w:val="0"/>
          <w:numId w:val="2"/>
        </w:numPr>
        <w:spacing w:after="100" w:before="40"/>
      </w:pPr>
      <w:r>
        <w:rPr>
          <w:rFonts w:ascii="Arial" w:cs="Arial" w:eastAsia="Arial" w:hAnsi="Arial"/>
          <w:color w:val="0C2340"/>
          <w:sz w:val="22"/>
          <w:szCs w:val="22"/>
        </w:rPr>
        <w:t xml:space="preserve">Qualitative screening — e.g., identifying which sample has the most intense reaction colour.</w:t>
      </w:r>
    </w:p>
    <w:p>
      <w:pPr>
        <w:pBdr>
          <w:left w:val="single" w:color="1E78D4" w:sz="12" w:space="4"/>
        </w:pBdr>
        <w:shd w:fill="EAF5FF" w:val="clear"/>
        <w:spacing w:after="160" w:before="120"/>
        <w:ind w:left="200" w:right="200"/>
      </w:pPr>
      <w:r>
        <w:rPr>
          <w:rFonts w:ascii="Arial" w:cs="Arial" w:eastAsia="Arial" w:hAnsi="Arial"/>
          <w:b w:val="false"/>
          <w:bCs w:val="false"/>
          <w:i/>
          <w:iCs/>
          <w:color w:val="0C2340"/>
          <w:sz w:val="20"/>
          <w:szCs w:val="20"/>
        </w:rPr>
        <w:t xml:space="preserve">📝 NOTE:  Mode 1 does not apply Beer-Lambert Law and does not require a blank. It is purely a relative comparison tool.</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5.2  Mode 2: Background-Corrected Absorbance (vs Blank)</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Mode 2 introduces a blank (reference) region. The blank is used to correct for background intensity and to calculate Beer-Lambert absorbance values for each sample.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Required Inputs</w:t>
      </w:r>
    </w:p>
    <w:p>
      <w:pPr>
        <w:pStyle w:val="ListParagraph"/>
        <w:numPr>
          <w:ilvl w:val="0"/>
          <w:numId w:val="2"/>
        </w:numPr>
        <w:spacing w:after="100" w:before="40"/>
      </w:pPr>
      <w:r>
        <w:rPr>
          <w:rFonts w:ascii="Arial" w:cs="Arial" w:eastAsia="Arial" w:hAnsi="Arial"/>
          <w:color w:val="0C2340"/>
          <w:sz w:val="22"/>
          <w:szCs w:val="22"/>
        </w:rPr>
        <w:t xml:space="preserve">At least one region labelled as "Blank".</w:t>
      </w:r>
    </w:p>
    <w:p>
      <w:pPr>
        <w:pStyle w:val="ListParagraph"/>
        <w:numPr>
          <w:ilvl w:val="0"/>
          <w:numId w:val="2"/>
        </w:numPr>
        <w:spacing w:after="100" w:before="40"/>
      </w:pPr>
      <w:r>
        <w:rPr>
          <w:rFonts w:ascii="Arial" w:cs="Arial" w:eastAsia="Arial" w:hAnsi="Arial"/>
          <w:color w:val="0C2340"/>
          <w:sz w:val="22"/>
          <w:szCs w:val="22"/>
        </w:rPr>
        <w:t xml:space="preserve">At least one region labelled as "Sample".</w:t>
      </w:r>
    </w:p>
    <w:p>
      <w:pPr>
        <w:pStyle w:val="Heading3"/>
        <w:pBdr>
          <w:bottom w:val="single" w:color="1E78D4" w:sz="4" w:space="2"/>
        </w:pBdr>
        <w:spacing w:after="120" w:before="280"/>
      </w:pPr>
      <w:r>
        <w:rPr>
          <w:rFonts w:ascii="Arial" w:cs="Arial" w:eastAsia="Arial" w:hAnsi="Arial"/>
          <w:b/>
          <w:bCs/>
          <w:color w:val="0C2340"/>
          <w:sz w:val="24"/>
          <w:szCs w:val="24"/>
        </w:rPr>
        <w:t xml:space="preserve">Computation</w:t>
      </w:r>
    </w:p>
    <w:p>
      <w:pPr>
        <w:spacing w:after="160" w:before="40"/>
      </w:pPr>
      <w:r>
        <w:rPr>
          <w:rFonts w:ascii="Arial" w:cs="Arial" w:eastAsia="Arial" w:hAnsi="Arial"/>
          <w:color w:val="0C2340"/>
          <w:sz w:val="22"/>
          <w:szCs w:val="22"/>
        </w:rPr>
        <w:t xml:space="preserve">Corrected intensity = Sample intensity − (Blank intensity − 255)</w:t>
      </w:r>
    </w:p>
    <w:p>
      <w:pPr>
        <w:spacing w:after="160" w:before="40"/>
      </w:pPr>
      <w:r>
        <w:rPr>
          <w:rFonts w:ascii="Arial" w:cs="Arial" w:eastAsia="Arial" w:hAnsi="Arial"/>
          <w:color w:val="0C2340"/>
          <w:sz w:val="22"/>
          <w:szCs w:val="22"/>
        </w:rPr>
        <w:t xml:space="preserve">Absorbance (A) = log₁₀(I_blank / I_sample)</w:t>
      </w:r>
    </w:p>
    <w:p>
      <w:pPr>
        <w:pStyle w:val="Heading3"/>
        <w:pBdr>
          <w:bottom w:val="single" w:color="1E78D4" w:sz="4" w:space="2"/>
        </w:pBdr>
        <w:spacing w:after="120" w:before="280"/>
      </w:pPr>
      <w:r>
        <w:rPr>
          <w:rFonts w:ascii="Arial" w:cs="Arial" w:eastAsia="Arial" w:hAnsi="Arial"/>
          <w:b/>
          <w:bCs/>
          <w:color w:val="0C2340"/>
          <w:sz w:val="24"/>
          <w:szCs w:val="24"/>
        </w:rPr>
        <w:t xml:space="preserve">Outputs</w:t>
      </w:r>
    </w:p>
    <w:p>
      <w:pPr>
        <w:pStyle w:val="ListParagraph"/>
        <w:numPr>
          <w:ilvl w:val="0"/>
          <w:numId w:val="2"/>
        </w:numPr>
        <w:spacing w:after="100" w:before="40"/>
      </w:pPr>
      <w:r>
        <w:rPr>
          <w:rFonts w:ascii="Arial" w:cs="Arial" w:eastAsia="Arial" w:hAnsi="Arial"/>
          <w:color w:val="0C2340"/>
          <w:sz w:val="22"/>
          <w:szCs w:val="22"/>
        </w:rPr>
        <w:t xml:space="preserve">Raw and corrected intensity for each sample.</w:t>
      </w:r>
    </w:p>
    <w:p>
      <w:pPr>
        <w:pStyle w:val="ListParagraph"/>
        <w:numPr>
          <w:ilvl w:val="0"/>
          <w:numId w:val="2"/>
        </w:numPr>
        <w:spacing w:after="100" w:before="40"/>
      </w:pPr>
      <w:r>
        <w:rPr>
          <w:rFonts w:ascii="Arial" w:cs="Arial" w:eastAsia="Arial" w:hAnsi="Arial"/>
          <w:color w:val="0C2340"/>
          <w:sz w:val="22"/>
          <w:szCs w:val="22"/>
        </w:rPr>
        <w:t xml:space="preserve">Beer-Lambert absorbance value for each sample.</w:t>
      </w:r>
    </w:p>
    <w:p>
      <w:pPr>
        <w:pBdr>
          <w:left w:val="single" w:color="1E78D4" w:sz="12" w:space="4"/>
        </w:pBdr>
        <w:shd w:fill="EAF5FF" w:val="clear"/>
        <w:spacing w:after="160" w:before="120"/>
        <w:ind w:left="200" w:right="200"/>
      </w:pPr>
      <w:r>
        <w:rPr>
          <w:rFonts w:ascii="Arial" w:cs="Arial" w:eastAsia="Arial" w:hAnsi="Arial"/>
          <w:b w:val="false"/>
          <w:bCs w:val="false"/>
          <w:i/>
          <w:iCs/>
          <w:color w:val="0C2340"/>
          <w:sz w:val="20"/>
          <w:szCs w:val="20"/>
        </w:rPr>
        <w:t xml:space="preserve">📝 NOTE:  If the blank intensity is lower than a sample intensity, the absorbance will be negative, indicating that the sample is actually brighter (less absorbing) than the blank. This is physically valid but warrants investigation of region placement.</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5.3  Mode 3: Full Quantitative Analysis</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Mode 3 is the primary quantitative mode. It requires a blank, at least three standard regions with known concentrations, and any number of sample regions. Three regression models are fitted simultaneously to the standard data, and the best-fit model is used to back-calculate the concentration of each unknown sample.</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Required Inputs</w:t>
      </w:r>
    </w:p>
    <w:p>
      <w:pPr>
        <w:pStyle w:val="ListParagraph"/>
        <w:numPr>
          <w:ilvl w:val="0"/>
          <w:numId w:val="2"/>
        </w:numPr>
        <w:spacing w:after="100" w:before="40"/>
      </w:pPr>
      <w:r>
        <w:rPr>
          <w:rFonts w:ascii="Arial" w:cs="Arial" w:eastAsia="Arial" w:hAnsi="Arial"/>
          <w:color w:val="0C2340"/>
          <w:sz w:val="22"/>
          <w:szCs w:val="22"/>
        </w:rPr>
        <w:t xml:space="preserve">One region labelled as "Blank".</w:t>
      </w:r>
    </w:p>
    <w:p>
      <w:pPr>
        <w:pStyle w:val="ListParagraph"/>
        <w:numPr>
          <w:ilvl w:val="0"/>
          <w:numId w:val="2"/>
        </w:numPr>
        <w:spacing w:after="100" w:before="40"/>
      </w:pPr>
      <w:r>
        <w:rPr>
          <w:rFonts w:ascii="Arial" w:cs="Arial" w:eastAsia="Arial" w:hAnsi="Arial"/>
          <w:color w:val="0C2340"/>
          <w:sz w:val="22"/>
          <w:szCs w:val="22"/>
        </w:rPr>
        <w:t xml:space="preserve">Minimum three regions labelled as "Standard", each with a known concentration entered in the Standard Concentrations card.</w:t>
      </w:r>
    </w:p>
    <w:p>
      <w:pPr>
        <w:pStyle w:val="ListParagraph"/>
        <w:numPr>
          <w:ilvl w:val="0"/>
          <w:numId w:val="2"/>
        </w:numPr>
        <w:spacing w:after="100" w:before="40"/>
      </w:pPr>
      <w:r>
        <w:rPr>
          <w:rFonts w:ascii="Arial" w:cs="Arial" w:eastAsia="Arial" w:hAnsi="Arial"/>
          <w:color w:val="0C2340"/>
          <w:sz w:val="22"/>
          <w:szCs w:val="22"/>
        </w:rPr>
        <w:t xml:space="preserve">One or more regions labelled as "Sample".</w:t>
      </w:r>
    </w:p>
    <w:p>
      <w:pPr>
        <w:pStyle w:val="Heading3"/>
        <w:pBdr>
          <w:bottom w:val="single" w:color="1E78D4" w:sz="4" w:space="2"/>
        </w:pBdr>
        <w:spacing w:after="120" w:before="280"/>
      </w:pPr>
      <w:r>
        <w:rPr>
          <w:rFonts w:ascii="Arial" w:cs="Arial" w:eastAsia="Arial" w:hAnsi="Arial"/>
          <w:b/>
          <w:bCs/>
          <w:color w:val="0C2340"/>
          <w:sz w:val="24"/>
          <w:szCs w:val="24"/>
        </w:rPr>
        <w:t xml:space="preserve">Regression Models Fitted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Model</w:t>
            </w:r>
          </w:p>
        </w:tc>
        <w:tc>
          <w:tcPr>
            <w:tcW w:type="dxa" w:w="3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Equation Form</w:t>
            </w:r>
          </w:p>
        </w:tc>
        <w:tc>
          <w:tcPr>
            <w:tcW w:type="dxa" w:w="37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Best For</w:t>
            </w:r>
          </w:p>
        </w:tc>
      </w:tr>
      <w:tr>
        <w:tc>
          <w:tcPr>
            <w:tcW w:type="dxa" w:w="22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Linear</w:t>
            </w:r>
          </w:p>
        </w:tc>
        <w:tc>
          <w:tcPr>
            <w:tcW w:type="dxa" w:w="3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y = mx + b</w:t>
            </w:r>
          </w:p>
        </w:tc>
        <w:tc>
          <w:tcPr>
            <w:tcW w:type="dxa" w:w="3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Assays with a linear concentration–intensity relationship</w:t>
            </w:r>
          </w:p>
        </w:tc>
      </w:tr>
      <w:tr>
        <w:tc>
          <w:tcPr>
            <w:tcW w:type="dxa" w:w="22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Logistic/Sigmoid</w:t>
            </w:r>
          </w:p>
        </w:tc>
        <w:tc>
          <w:tcPr>
            <w:tcW w:type="dxa" w:w="3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y = a / (1 + e^(−b(x−c)))</w:t>
            </w:r>
          </w:p>
        </w:tc>
        <w:tc>
          <w:tcPr>
            <w:tcW w:type="dxa" w:w="3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Enzyme-linked assays with sigmoidal dose–response curves</w:t>
            </w:r>
          </w:p>
        </w:tc>
      </w:tr>
      <w:tr>
        <w:tc>
          <w:tcPr>
            <w:tcW w:type="dxa" w:w="22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Michaelis-Menten</w:t>
            </w:r>
          </w:p>
        </w:tc>
        <w:tc>
          <w:tcPr>
            <w:tcW w:type="dxa" w:w="3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y = (Vmax · x) / (Km + x)</w:t>
            </w:r>
          </w:p>
        </w:tc>
        <w:tc>
          <w:tcPr>
            <w:tcW w:type="dxa" w:w="3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Enzymatic reactions at substrate-saturation kinetics</w:t>
            </w:r>
          </w:p>
        </w:tc>
      </w:tr>
    </w:tbl>
    <w:p>
      <w:pPr>
        <w:spacing w:after="16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Model Selection Criterion</w:t>
      </w:r>
    </w:p>
    <w:p>
      <w:pPr>
        <w:spacing w:after="160" w:before="40"/>
      </w:pPr>
      <w:r>
        <w:rPr>
          <w:rFonts w:ascii="Arial" w:cs="Arial" w:eastAsia="Arial" w:hAnsi="Arial"/>
          <w:color w:val="0C2340"/>
          <w:sz w:val="22"/>
          <w:szCs w:val="22"/>
        </w:rPr>
        <w:t xml:space="preserve">The model with the highest R² value is automatically selected as "Best Fit." If two models have identical R² values, the simpler model (Linear &gt; Michaelis-Menten &gt; Logistic) is preferred.</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5.4  Mode 4: Multi-Blank Quantitative Analysis</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Mode 4 extends Mode 3 by averaging across multiple blank regions. This is useful when the background intensity is non-uniform across the image, for example when multiple physical wells or strips are photographed together.</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Difference from Mode 3</w:t>
      </w:r>
    </w:p>
    <w:p>
      <w:pPr>
        <w:pStyle w:val="ListParagraph"/>
        <w:numPr>
          <w:ilvl w:val="0"/>
          <w:numId w:val="2"/>
        </w:numPr>
        <w:spacing w:after="100" w:before="40"/>
      </w:pPr>
      <w:r>
        <w:rPr>
          <w:rFonts w:ascii="Arial" w:cs="Arial" w:eastAsia="Arial" w:hAnsi="Arial"/>
          <w:color w:val="0C2340"/>
          <w:sz w:val="22"/>
          <w:szCs w:val="22"/>
        </w:rPr>
        <w:t xml:space="preserve">Multiple blank regions are averaged to produce a single composite blank intensity.</w:t>
      </w:r>
    </w:p>
    <w:p>
      <w:pPr>
        <w:pStyle w:val="ListParagraph"/>
        <w:numPr>
          <w:ilvl w:val="0"/>
          <w:numId w:val="2"/>
        </w:numPr>
        <w:spacing w:after="100" w:before="40"/>
      </w:pPr>
      <w:r>
        <w:rPr>
          <w:rFonts w:ascii="Arial" w:cs="Arial" w:eastAsia="Arial" w:hAnsi="Arial"/>
          <w:color w:val="0C2340"/>
          <w:sz w:val="22"/>
          <w:szCs w:val="22"/>
        </w:rPr>
        <w:t xml:space="preserve">All other computation steps are identical to Mode 3.</w:t>
      </w:r>
    </w:p>
    <w:p>
      <w:pPr>
        <w:pBdr>
          <w:left w:val="single" w:color="1E78D4" w:sz="12" w:space="4"/>
        </w:pBdr>
        <w:shd w:fill="E6FAF7" w:val="clear"/>
        <w:spacing w:after="160" w:before="120"/>
        <w:ind w:left="200" w:right="200"/>
      </w:pPr>
      <w:r>
        <w:rPr>
          <w:rFonts w:ascii="Arial" w:cs="Arial" w:eastAsia="Arial" w:hAnsi="Arial"/>
          <w:b w:val="false"/>
          <w:bCs w:val="false"/>
          <w:i/>
          <w:iCs/>
          <w:color w:val="0C3030"/>
          <w:sz w:val="20"/>
          <w:szCs w:val="20"/>
        </w:rPr>
        <w:t xml:space="preserve">💡 TIP:  Mode 4 is recommended when photographing multi-well plate assays where individual well backgrounds may differ due to lighting gradients across the image.</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6.  Scientific Principles &amp; Algorithms</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6.1  Grayscale Intensity Conversion (ITU-R BT.601)</w:t>
      </w:r>
    </w:p>
    <w:p>
      <w:pPr>
        <w:spacing w:after="160" w:before="40"/>
      </w:pPr>
      <w:r>
        <w:rPr>
          <w:rFonts w:ascii="Arial" w:cs="Arial" w:eastAsia="Arial" w:hAnsi="Arial"/>
          <w:color w:val="0C2340"/>
          <w:sz w:val="22"/>
          <w:szCs w:val="22"/>
        </w:rPr>
        <w:t xml:space="preserve">Raw image pixels contain three colour channels: Red (R), Green (G), and Blue (B), each ranging 0–255. ColoriSense Pro converts each pixel to a single scalar intensity value using the industry-standard ITU-R BT.601 luminance formula:</w:t>
      </w:r>
    </w:p>
    <w:p>
      <w:pPr>
        <w:shd w:fill="E8F1FB" w:val="clear"/>
        <w:spacing w:after="200" w:before="120"/>
        <w:ind w:left="720" w:right="720"/>
        <w:jc w:val="center"/>
      </w:pPr>
      <w:r>
        <w:rPr>
          <w:rFonts w:ascii="Courier New" w:cs="Courier New" w:eastAsia="Courier New" w:hAnsi="Courier New"/>
          <w:b/>
          <w:bCs/>
          <w:color w:val="0C2340"/>
          <w:sz w:val="22"/>
          <w:szCs w:val="22"/>
        </w:rPr>
        <w:t xml:space="preserve">I = 0.299 × R  +  0.587 × G  +  0.114 × B</w:t>
      </w:r>
    </w:p>
    <w:p>
      <w:pPr>
        <w:spacing w:after="160" w:before="40"/>
      </w:pPr>
      <w:r>
        <w:rPr>
          <w:rFonts w:ascii="Arial" w:cs="Arial" w:eastAsia="Arial" w:hAnsi="Arial"/>
          <w:color w:val="0C2340"/>
          <w:sz w:val="22"/>
          <w:szCs w:val="22"/>
        </w:rPr>
        <w:t xml:space="preserve">The weighting coefficients reflect the human eye's differential sensitivity to each channel: the eye is most sensitive to green light (~59%), moderately sensitive to red (~30%), and least sensitive to blue (~11%). The regional intensity is then the average of all per-pixel intensity values within the ROI bounding box.</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6.2  Beer-Lambert Law</w:t>
      </w:r>
    </w:p>
    <w:p>
      <w:pPr>
        <w:spacing w:after="160" w:before="40"/>
      </w:pPr>
      <w:r>
        <w:rPr>
          <w:rFonts w:ascii="Arial" w:cs="Arial" w:eastAsia="Arial" w:hAnsi="Arial"/>
          <w:color w:val="0C2340"/>
          <w:sz w:val="22"/>
          <w:szCs w:val="22"/>
        </w:rPr>
        <w:t xml:space="preserve">The Beer-Lambert Law describes the relationship between light absorbance and the concentration of a substance in solution:</w:t>
      </w:r>
    </w:p>
    <w:p>
      <w:pPr>
        <w:shd w:fill="E8F1FB" w:val="clear"/>
        <w:spacing w:after="200" w:before="120"/>
        <w:ind w:left="720" w:right="720"/>
        <w:jc w:val="center"/>
      </w:pPr>
      <w:r>
        <w:rPr>
          <w:rFonts w:ascii="Courier New" w:cs="Courier New" w:eastAsia="Courier New" w:hAnsi="Courier New"/>
          <w:b/>
          <w:bCs/>
          <w:color w:val="0C2340"/>
          <w:sz w:val="22"/>
          <w:szCs w:val="22"/>
        </w:rPr>
        <w:t xml:space="preserve">A  =  log₁₀( I_blank / I_sample )</w:t>
      </w:r>
    </w:p>
    <w:p>
      <w:pPr>
        <w:spacing w:after="160" w:before="40"/>
      </w:pPr>
      <w:r>
        <w:rPr>
          <w:rFonts w:ascii="Arial" w:cs="Arial" w:eastAsia="Arial" w:hAnsi="Arial"/>
          <w:color w:val="0C2340"/>
          <w:sz w:val="22"/>
          <w:szCs w:val="22"/>
        </w:rPr>
        <w:t xml:space="preserve">Where A is absorbance (dimensionless), I_blank is the grayscale intensity of the blank (reference) region, and I_sample is the grayscale intensity of the sample region. Higher absorbance indicates greater light absorption, which corresponds to a deeper or darker colour and, in colorimetric assays, usually indicates a higher analyte concentration.</w:t>
      </w:r>
    </w:p>
    <w:p>
      <w:pPr>
        <w:spacing w:after="160" w:before="40"/>
      </w:pPr>
      <w:r>
        <w:rPr>
          <w:rFonts w:ascii="Arial" w:cs="Arial" w:eastAsia="Arial" w:hAnsi="Arial"/>
          <w:color w:val="0C2340"/>
          <w:sz w:val="22"/>
          <w:szCs w:val="22"/>
        </w:rPr>
        <w:t xml:space="preserve">Boundary conditions:</w:t>
      </w:r>
    </w:p>
    <w:p>
      <w:pPr>
        <w:pStyle w:val="ListParagraph"/>
        <w:numPr>
          <w:ilvl w:val="0"/>
          <w:numId w:val="2"/>
        </w:numPr>
        <w:spacing w:after="100" w:before="40"/>
      </w:pPr>
      <w:r>
        <w:rPr>
          <w:rFonts w:ascii="Arial" w:cs="Arial" w:eastAsia="Arial" w:hAnsi="Arial"/>
          <w:color w:val="0C2340"/>
          <w:sz w:val="22"/>
          <w:szCs w:val="22"/>
        </w:rPr>
        <w:t xml:space="preserve">If either intensity value is ≤ 0, absorbance is undefined (returned as null and displayed as "—").</w:t>
      </w:r>
    </w:p>
    <w:p>
      <w:pPr>
        <w:pStyle w:val="ListParagraph"/>
        <w:numPr>
          <w:ilvl w:val="0"/>
          <w:numId w:val="2"/>
        </w:numPr>
        <w:spacing w:after="100" w:before="40"/>
      </w:pPr>
      <w:r>
        <w:rPr>
          <w:rFonts w:ascii="Arial" w:cs="Arial" w:eastAsia="Arial" w:hAnsi="Arial"/>
          <w:color w:val="0C2340"/>
          <w:sz w:val="22"/>
          <w:szCs w:val="22"/>
        </w:rPr>
        <w:t xml:space="preserve">Negative absorbance is mathematically valid and indicates the sample is brighter than the blank.</w:t>
      </w:r>
    </w:p>
    <w:p>
      <w:pPr>
        <w:spacing w:after="80"/>
      </w:pPr>
      <w:r>
        <w:rPr>
          <w:rFonts w:ascii="Arial" w:cs="Arial" w:eastAsia="Arial" w:hAnsi="Arial"/>
          <w:color w:val="0C2340"/>
          <w:sz w:val="22"/>
          <w:szCs w:val="22"/>
        </w:rPr>
        <w:t xml:space="preserve"/>
      </w:r>
    </w:p>
    <w:p>
      <w:pPr>
        <w:pStyle w:val="Heading3"/>
        <w:pBdr>
          <w:bottom w:val="single" w:color="1E78D4" w:sz="4" w:space="2"/>
        </w:pBdr>
        <w:spacing w:after="120" w:before="280"/>
      </w:pPr>
      <w:r>
        <w:rPr>
          <w:rFonts w:ascii="Arial" w:cs="Arial" w:eastAsia="Arial" w:hAnsi="Arial"/>
          <w:b/>
          <w:bCs/>
          <w:color w:val="0C2340"/>
          <w:sz w:val="24"/>
          <w:szCs w:val="24"/>
        </w:rPr>
        <w:t xml:space="preserve">6.3  Calibration Curve Regression</w:t>
      </w:r>
    </w:p>
    <w:p>
      <w:pPr>
        <w:spacing w:after="160" w:before="40"/>
      </w:pPr>
      <w:r>
        <w:rPr>
          <w:rFonts w:ascii="Arial" w:cs="Arial" w:eastAsia="Arial" w:hAnsi="Arial"/>
          <w:color w:val="0C2340"/>
          <w:sz w:val="22"/>
          <w:szCs w:val="22"/>
        </w:rPr>
        <w:t xml:space="preserve">For quantitative modes (3 and 4), a calibration curve is constructed using the known concentration–intensity pairs from the standard regions. Three mathematical models are fitted using iterative numerical optimisation:</w:t>
      </w:r>
    </w:p>
    <w:p>
      <w:pPr>
        <w:spacing w:after="80"/>
      </w:pPr>
      <w:r>
        <w:rPr>
          <w:rFonts w:ascii="Arial" w:cs="Arial" w:eastAsia="Arial" w:hAnsi="Arial"/>
          <w:color w:val="0C2340"/>
          <w:sz w:val="22"/>
          <w:szCs w:val="22"/>
        </w:rPr>
        <w:t xml:space="preserve"/>
      </w:r>
    </w:p>
    <w:p>
      <w:pPr>
        <w:spacing w:after="80" w:before="200"/>
      </w:pPr>
      <w:r>
        <w:rPr>
          <w:rFonts w:ascii="Arial" w:cs="Arial" w:eastAsia="Arial" w:hAnsi="Arial"/>
          <w:b/>
          <w:bCs/>
          <w:color w:val="1556A0"/>
          <w:sz w:val="22"/>
          <w:szCs w:val="22"/>
        </w:rPr>
        <w:t xml:space="preserve">Linear Regression</w:t>
      </w:r>
    </w:p>
    <w:p>
      <w:pPr>
        <w:spacing w:after="160" w:before="40"/>
      </w:pPr>
      <w:r>
        <w:rPr>
          <w:rFonts w:ascii="Arial" w:cs="Arial" w:eastAsia="Arial" w:hAnsi="Arial"/>
          <w:color w:val="0C2340"/>
          <w:sz w:val="22"/>
          <w:szCs w:val="22"/>
        </w:rPr>
        <w:t xml:space="preserve">Finds the best-fit straight line y = mx + b through the standard data points using the least-squares method. Simple and interpretable; appropriate when the concentration range is narrow and the response is proportional.</w:t>
      </w:r>
    </w:p>
    <w:p>
      <w:pPr>
        <w:spacing w:after="80"/>
      </w:pPr>
      <w:r>
        <w:rPr>
          <w:rFonts w:ascii="Arial" w:cs="Arial" w:eastAsia="Arial" w:hAnsi="Arial"/>
          <w:color w:val="0C2340"/>
          <w:sz w:val="22"/>
          <w:szCs w:val="22"/>
        </w:rPr>
        <w:t xml:space="preserve"/>
      </w:r>
    </w:p>
    <w:p>
      <w:pPr>
        <w:spacing w:after="80" w:before="200"/>
      </w:pPr>
      <w:r>
        <w:rPr>
          <w:rFonts w:ascii="Arial" w:cs="Arial" w:eastAsia="Arial" w:hAnsi="Arial"/>
          <w:b/>
          <w:bCs/>
          <w:color w:val="1556A0"/>
          <w:sz w:val="22"/>
          <w:szCs w:val="22"/>
        </w:rPr>
        <w:t xml:space="preserve">Logistic / Sigmoid Model</w:t>
      </w:r>
    </w:p>
    <w:p>
      <w:pPr>
        <w:spacing w:after="160" w:before="40"/>
      </w:pPr>
      <w:r>
        <w:rPr>
          <w:rFonts w:ascii="Arial" w:cs="Arial" w:eastAsia="Arial" w:hAnsi="Arial"/>
          <w:color w:val="0C2340"/>
          <w:sz w:val="22"/>
          <w:szCs w:val="22"/>
        </w:rPr>
        <w:t xml:space="preserve">A four-parameter sigmoid function of the form y = a / (1 + e^(−b(x − c))). Appropriate for assays with a sigmoidal dose-response (e.g., competitive enzyme immunoassays). The inflection point c corresponds to the EC₅₀.</w:t>
      </w:r>
    </w:p>
    <w:p>
      <w:pPr>
        <w:spacing w:after="80"/>
      </w:pPr>
      <w:r>
        <w:rPr>
          <w:rFonts w:ascii="Arial" w:cs="Arial" w:eastAsia="Arial" w:hAnsi="Arial"/>
          <w:color w:val="0C2340"/>
          <w:sz w:val="22"/>
          <w:szCs w:val="22"/>
        </w:rPr>
        <w:t xml:space="preserve"/>
      </w:r>
    </w:p>
    <w:p>
      <w:pPr>
        <w:spacing w:after="80" w:before="200"/>
      </w:pPr>
      <w:r>
        <w:rPr>
          <w:rFonts w:ascii="Arial" w:cs="Arial" w:eastAsia="Arial" w:hAnsi="Arial"/>
          <w:b/>
          <w:bCs/>
          <w:color w:val="1556A0"/>
          <w:sz w:val="22"/>
          <w:szCs w:val="22"/>
        </w:rPr>
        <w:t xml:space="preserve">Michaelis-Menten Model</w:t>
      </w:r>
    </w:p>
    <w:p>
      <w:pPr>
        <w:spacing w:after="160" w:before="40"/>
      </w:pPr>
      <w:r>
        <w:rPr>
          <w:rFonts w:ascii="Arial" w:cs="Arial" w:eastAsia="Arial" w:hAnsi="Arial"/>
          <w:color w:val="0C2340"/>
          <w:sz w:val="22"/>
          <w:szCs w:val="22"/>
        </w:rPr>
        <w:t xml:space="preserve">Uses the hyperbolic form y = (Vmax · x) / (Km + x), derived from enzyme kinetics. Appropriate when the intensity response saturates at high concentrations — for example, when the colorimetric reagent becomes limiting.</w:t>
      </w:r>
    </w:p>
    <w:p>
      <w:pPr>
        <w:spacing w:after="80"/>
      </w:pPr>
      <w:r>
        <w:rPr>
          <w:rFonts w:ascii="Arial" w:cs="Arial" w:eastAsia="Arial" w:hAnsi="Arial"/>
          <w:color w:val="0C2340"/>
          <w:sz w:val="22"/>
          <w:szCs w:val="22"/>
        </w:rPr>
        <w:t xml:space="preserve"/>
      </w:r>
    </w:p>
    <w:p>
      <w:pPr>
        <w:spacing w:after="80" w:before="200"/>
      </w:pPr>
      <w:r>
        <w:rPr>
          <w:rFonts w:ascii="Arial" w:cs="Arial" w:eastAsia="Arial" w:hAnsi="Arial"/>
          <w:b/>
          <w:bCs/>
          <w:color w:val="1556A0"/>
          <w:sz w:val="22"/>
          <w:szCs w:val="22"/>
        </w:rPr>
        <w:t xml:space="preserve">Model Evaluation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rPr>
          <w:tblHeader/>
        </w:trPr>
        <w:tc>
          <w:tcPr>
            <w:tcW w:type="dxa" w:w="1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Metric</w:t>
            </w:r>
          </w:p>
        </w:tc>
        <w:tc>
          <w:tcPr>
            <w:tcW w:type="dxa" w:w="3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Formula</w:t>
            </w:r>
          </w:p>
        </w:tc>
        <w:tc>
          <w:tcPr>
            <w:tcW w:type="dxa" w:w="43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Interpretation</w:t>
            </w:r>
          </w:p>
        </w:tc>
      </w:tr>
      <w:tr>
        <w:tc>
          <w:tcPr>
            <w:tcW w:type="dxa" w:w="1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R²</w:t>
            </w:r>
          </w:p>
        </w:tc>
        <w:tc>
          <w:tcPr>
            <w:tcW w:type="dxa" w:w="3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1 − (SS_res / SS_tot)</w:t>
            </w:r>
          </w:p>
        </w:tc>
        <w:tc>
          <w:tcPr>
            <w:tcW w:type="dxa" w:w="43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Proportion of variance explained; 1.0 = perfect fit</w:t>
            </w:r>
          </w:p>
        </w:tc>
      </w:tr>
      <w:tr>
        <w:tc>
          <w:tcPr>
            <w:tcW w:type="dxa" w:w="1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RMSE</w:t>
            </w:r>
          </w:p>
        </w:tc>
        <w:tc>
          <w:tcPr>
            <w:tcW w:type="dxa" w:w="3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sqrt( Σ(y_pred − y_obs)² / n )</w:t>
            </w:r>
          </w:p>
        </w:tc>
        <w:tc>
          <w:tcPr>
            <w:tcW w:type="dxa" w:w="43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Average prediction error in the same units as intensity</w:t>
            </w:r>
          </w:p>
        </w:tc>
      </w:tr>
    </w:tbl>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7.  Step-by-Step Workflow Guides</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7.1  Workflow A — Qualitative Comparison (Mode 1)</w:t>
      </w:r>
    </w:p>
    <w:p>
      <w:pPr>
        <w:spacing w:after="80"/>
      </w:pPr>
      <w:r>
        <w:rPr>
          <w:rFonts w:ascii="Arial" w:cs="Arial" w:eastAsia="Arial" w:hAnsi="Arial"/>
          <w:color w:val="0C2340"/>
          <w:sz w:val="22"/>
          <w:szCs w:val="22"/>
        </w:rPr>
        <w:t xml:space="preserve"/>
      </w:r>
    </w:p>
    <w:p>
      <w:pPr>
        <w:pStyle w:val="ListParagraph"/>
        <w:numPr>
          <w:ilvl w:val="0"/>
          <w:numId w:val="3"/>
        </w:numPr>
        <w:spacing w:after="100" w:before="40"/>
      </w:pPr>
      <w:r>
        <w:rPr>
          <w:rFonts w:ascii="Arial" w:cs="Arial" w:eastAsia="Arial" w:hAnsi="Arial"/>
          <w:color w:val="0C2340"/>
          <w:sz w:val="22"/>
          <w:szCs w:val="22"/>
        </w:rPr>
        <w:t xml:space="preserve">Open ColoriSense Pro in the browser.</w:t>
      </w:r>
    </w:p>
    <w:p>
      <w:pPr>
        <w:pStyle w:val="ListParagraph"/>
        <w:numPr>
          <w:ilvl w:val="0"/>
          <w:numId w:val="4"/>
        </w:numPr>
        <w:spacing w:after="100"/>
      </w:pPr>
      <w:r>
        <w:rPr>
          <w:rFonts w:ascii="Arial" w:cs="Arial" w:eastAsia="Arial" w:hAnsi="Arial"/>
          <w:color w:val="0C2340"/>
          <w:sz w:val="22"/>
          <w:szCs w:val="22"/>
        </w:rPr>
        <w:t xml:space="preserve">Navigate to the </w:t>
      </w:r>
      <w:r>
        <w:rPr>
          <w:rFonts w:ascii="Arial" w:cs="Arial" w:eastAsia="Arial" w:hAnsi="Arial"/>
          <w:b/>
          <w:bCs/>
          <w:color w:val="0C2340"/>
          <w:sz w:val="22"/>
          <w:szCs w:val="22"/>
        </w:rPr>
        <w:t xml:space="preserve">📷 Image</w:t>
      </w:r>
      <w:r>
        <w:rPr>
          <w:rFonts w:ascii="Arial" w:cs="Arial" w:eastAsia="Arial" w:hAnsi="Arial"/>
          <w:color w:val="0C2340"/>
          <w:sz w:val="22"/>
          <w:szCs w:val="22"/>
        </w:rPr>
        <w:t xml:space="preserve"> tab and upload a photograph of your colorimetric assay.</w:t>
      </w:r>
    </w:p>
    <w:p>
      <w:pPr>
        <w:pStyle w:val="ListParagraph"/>
        <w:numPr>
          <w:ilvl w:val="0"/>
          <w:numId w:val="4"/>
        </w:numPr>
        <w:spacing w:after="100"/>
      </w:pPr>
      <w:r>
        <w:rPr>
          <w:rFonts w:ascii="Arial" w:cs="Arial" w:eastAsia="Arial" w:hAnsi="Arial"/>
          <w:color w:val="0C2340"/>
          <w:sz w:val="22"/>
          <w:szCs w:val="22"/>
        </w:rPr>
        <w:t xml:space="preserve">Click </w:t>
      </w:r>
      <w:r>
        <w:rPr>
          <w:rFonts w:ascii="Arial" w:cs="Arial" w:eastAsia="Arial" w:hAnsi="Arial"/>
          <w:b/>
          <w:bCs/>
          <w:color w:val="0C2340"/>
          <w:sz w:val="22"/>
          <w:szCs w:val="22"/>
        </w:rPr>
        <w:t xml:space="preserve">Select Region</w:t>
      </w:r>
      <w:r>
        <w:rPr>
          <w:rFonts w:ascii="Arial" w:cs="Arial" w:eastAsia="Arial" w:hAnsi="Arial"/>
          <w:color w:val="0C2340"/>
          <w:sz w:val="22"/>
          <w:szCs w:val="22"/>
        </w:rPr>
        <w:t xml:space="preserve">, draw an ROI over the first test sample, and label it (e.g., "Sample A") with type "Sample". Repeat for each sample.</w:t>
      </w:r>
    </w:p>
    <w:p>
      <w:pPr>
        <w:pStyle w:val="ListParagraph"/>
        <w:numPr>
          <w:ilvl w:val="0"/>
          <w:numId w:val="4"/>
        </w:numPr>
        <w:spacing w:after="100"/>
      </w:pPr>
      <w:r>
        <w:rPr>
          <w:rFonts w:ascii="Arial" w:cs="Arial" w:eastAsia="Arial" w:hAnsi="Arial"/>
          <w:color w:val="0C2340"/>
          <w:sz w:val="22"/>
          <w:szCs w:val="22"/>
        </w:rPr>
        <w:t xml:space="preserve">Navigate to </w:t>
      </w:r>
      <w:r>
        <w:rPr>
          <w:rFonts w:ascii="Arial" w:cs="Arial" w:eastAsia="Arial" w:hAnsi="Arial"/>
          <w:b/>
          <w:bCs/>
          <w:color w:val="0C2340"/>
          <w:sz w:val="22"/>
          <w:szCs w:val="22"/>
        </w:rPr>
        <w:t xml:space="preserve">⚗️ Analysis</w:t>
      </w:r>
      <w:r>
        <w:rPr>
          <w:rFonts w:ascii="Arial" w:cs="Arial" w:eastAsia="Arial" w:hAnsi="Arial"/>
          <w:color w:val="0C2340"/>
          <w:sz w:val="22"/>
          <w:szCs w:val="22"/>
        </w:rPr>
        <w:t xml:space="preserve">, confirm Mode 1 is selected, and click </w:t>
      </w:r>
      <w:r>
        <w:rPr>
          <w:rFonts w:ascii="Arial" w:cs="Arial" w:eastAsia="Arial" w:hAnsi="Arial"/>
          <w:b/>
          <w:bCs/>
          <w:color w:val="0C2340"/>
          <w:sz w:val="22"/>
          <w:szCs w:val="22"/>
        </w:rPr>
        <w:t xml:space="preserve">▶ Run Analysis</w:t>
      </w:r>
      <w:r>
        <w:rPr>
          <w:rFonts w:ascii="Arial" w:cs="Arial" w:eastAsia="Arial" w:hAnsi="Arial"/>
          <w:color w:val="0C2340"/>
          <w:sz w:val="22"/>
          <w:szCs w:val="22"/>
        </w:rPr>
        <w:t xml:space="preserve">.</w:t>
      </w:r>
    </w:p>
    <w:p>
      <w:pPr>
        <w:pStyle w:val="ListParagraph"/>
        <w:numPr>
          <w:ilvl w:val="0"/>
          <w:numId w:val="4"/>
        </w:numPr>
        <w:spacing w:after="100"/>
      </w:pPr>
      <w:r>
        <w:rPr>
          <w:rFonts w:ascii="Arial" w:cs="Arial" w:eastAsia="Arial" w:hAnsi="Arial"/>
          <w:color w:val="0C2340"/>
          <w:sz w:val="22"/>
          <w:szCs w:val="22"/>
        </w:rPr>
        <w:t xml:space="preserve">Review the ranked results table in the </w:t>
      </w:r>
      <w:r>
        <w:rPr>
          <w:rFonts w:ascii="Arial" w:cs="Arial" w:eastAsia="Arial" w:hAnsi="Arial"/>
          <w:b/>
          <w:bCs/>
          <w:color w:val="0C2340"/>
          <w:sz w:val="22"/>
          <w:szCs w:val="22"/>
        </w:rPr>
        <w:t xml:space="preserve">📋 Results</w:t>
      </w:r>
      <w:r>
        <w:rPr>
          <w:rFonts w:ascii="Arial" w:cs="Arial" w:eastAsia="Arial" w:hAnsi="Arial"/>
          <w:color w:val="0C2340"/>
          <w:sz w:val="22"/>
          <w:szCs w:val="22"/>
        </w:rPr>
        <w:t xml:space="preserve"> tab.</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7.2  Workflow B — Absorbance Measurement (Mode 2)</w:t>
      </w:r>
    </w:p>
    <w:p>
      <w:pPr>
        <w:spacing w:after="80"/>
      </w:pPr>
      <w:r>
        <w:rPr>
          <w:rFonts w:ascii="Arial" w:cs="Arial" w:eastAsia="Arial" w:hAnsi="Arial"/>
          <w:color w:val="0C2340"/>
          <w:sz w:val="22"/>
          <w:szCs w:val="22"/>
        </w:rPr>
        <w:t xml:space="preserve"/>
      </w:r>
    </w:p>
    <w:p>
      <w:pPr>
        <w:pStyle w:val="ListParagraph"/>
        <w:numPr>
          <w:ilvl w:val="0"/>
          <w:numId w:val="4"/>
        </w:numPr>
        <w:spacing w:after="100"/>
      </w:pPr>
      <w:r>
        <w:rPr>
          <w:rFonts w:ascii="Arial" w:cs="Arial" w:eastAsia="Arial" w:hAnsi="Arial"/>
          <w:color w:val="0C2340"/>
          <w:sz w:val="22"/>
          <w:szCs w:val="22"/>
        </w:rPr>
        <w:t xml:space="preserve">Open the application and navigate to </w:t>
      </w:r>
      <w:r>
        <w:rPr>
          <w:rFonts w:ascii="Arial" w:cs="Arial" w:eastAsia="Arial" w:hAnsi="Arial"/>
          <w:b/>
          <w:bCs/>
          <w:color w:val="0C2340"/>
          <w:sz w:val="22"/>
          <w:szCs w:val="22"/>
        </w:rPr>
        <w:t xml:space="preserve">📷 Image</w:t>
      </w:r>
      <w:r>
        <w:rPr>
          <w:rFonts w:ascii="Arial" w:cs="Arial" w:eastAsia="Arial" w:hAnsi="Arial"/>
          <w:color w:val="0C2340"/>
          <w:sz w:val="22"/>
          <w:szCs w:val="22"/>
        </w:rPr>
        <w:t xml:space="preserve">.</w:t>
      </w:r>
    </w:p>
    <w:p>
      <w:pPr>
        <w:pStyle w:val="ListParagraph"/>
        <w:numPr>
          <w:ilvl w:val="0"/>
          <w:numId w:val="4"/>
        </w:numPr>
        <w:spacing w:after="100"/>
      </w:pPr>
      <w:r>
        <w:rPr>
          <w:rFonts w:ascii="Arial" w:cs="Arial" w:eastAsia="Arial" w:hAnsi="Arial"/>
          <w:color w:val="0C2340"/>
          <w:sz w:val="22"/>
          <w:szCs w:val="22"/>
        </w:rPr>
        <w:t xml:space="preserve">Upload the assay image. Draw one ROI over the clear/unreacted (blank) area and label it "Blank" with type "Blank".</w:t>
      </w:r>
    </w:p>
    <w:p>
      <w:pPr>
        <w:pStyle w:val="ListParagraph"/>
        <w:numPr>
          <w:ilvl w:val="0"/>
          <w:numId w:val="4"/>
        </w:numPr>
        <w:spacing w:after="100"/>
      </w:pPr>
      <w:r>
        <w:rPr>
          <w:rFonts w:ascii="Arial" w:cs="Arial" w:eastAsia="Arial" w:hAnsi="Arial"/>
          <w:color w:val="0C2340"/>
          <w:sz w:val="22"/>
          <w:szCs w:val="22"/>
        </w:rPr>
        <w:t xml:space="preserve">Draw ROIs over all sample wells/strips and label each as type "Sample".</w:t>
      </w:r>
    </w:p>
    <w:p>
      <w:pPr>
        <w:pStyle w:val="ListParagraph"/>
        <w:numPr>
          <w:ilvl w:val="0"/>
          <w:numId w:val="4"/>
        </w:numPr>
        <w:spacing w:after="100"/>
      </w:pPr>
      <w:r>
        <w:rPr>
          <w:rFonts w:ascii="Arial" w:cs="Arial" w:eastAsia="Arial" w:hAnsi="Arial"/>
          <w:color w:val="0C2340"/>
          <w:sz w:val="22"/>
          <w:szCs w:val="22"/>
        </w:rPr>
        <w:t xml:space="preserve">Go to </w:t>
      </w:r>
      <w:r>
        <w:rPr>
          <w:rFonts w:ascii="Arial" w:cs="Arial" w:eastAsia="Arial" w:hAnsi="Arial"/>
          <w:b/>
          <w:bCs/>
          <w:color w:val="0C2340"/>
          <w:sz w:val="22"/>
          <w:szCs w:val="22"/>
        </w:rPr>
        <w:t xml:space="preserve">⚗️ Analysis</w:t>
      </w:r>
      <w:r>
        <w:rPr>
          <w:rFonts w:ascii="Arial" w:cs="Arial" w:eastAsia="Arial" w:hAnsi="Arial"/>
          <w:color w:val="0C2340"/>
          <w:sz w:val="22"/>
          <w:szCs w:val="22"/>
        </w:rPr>
        <w:t xml:space="preserve">, select Mode 2, choose the blank from the dropdown, and click </w:t>
      </w:r>
      <w:r>
        <w:rPr>
          <w:rFonts w:ascii="Arial" w:cs="Arial" w:eastAsia="Arial" w:hAnsi="Arial"/>
          <w:b/>
          <w:bCs/>
          <w:color w:val="0C2340"/>
          <w:sz w:val="22"/>
          <w:szCs w:val="22"/>
        </w:rPr>
        <w:t xml:space="preserve">▶ Run Analysis</w:t>
      </w:r>
      <w:r>
        <w:rPr>
          <w:rFonts w:ascii="Arial" w:cs="Arial" w:eastAsia="Arial" w:hAnsi="Arial"/>
          <w:color w:val="0C2340"/>
          <w:sz w:val="22"/>
          <w:szCs w:val="22"/>
        </w:rPr>
        <w:t xml:space="preserve">.</w:t>
      </w:r>
    </w:p>
    <w:p>
      <w:pPr>
        <w:pStyle w:val="ListParagraph"/>
        <w:numPr>
          <w:ilvl w:val="0"/>
          <w:numId w:val="4"/>
        </w:numPr>
        <w:spacing w:after="100"/>
      </w:pPr>
      <w:r>
        <w:rPr>
          <w:rFonts w:ascii="Arial" w:cs="Arial" w:eastAsia="Arial" w:hAnsi="Arial"/>
          <w:color w:val="0C2340"/>
          <w:sz w:val="22"/>
          <w:szCs w:val="22"/>
        </w:rPr>
        <w:t xml:space="preserve">The </w:t>
      </w:r>
      <w:r>
        <w:rPr>
          <w:rFonts w:ascii="Arial" w:cs="Arial" w:eastAsia="Arial" w:hAnsi="Arial"/>
          <w:b/>
          <w:bCs/>
          <w:color w:val="0C2340"/>
          <w:sz w:val="22"/>
          <w:szCs w:val="22"/>
        </w:rPr>
        <w:t xml:space="preserve">Beer-Lambert Absorbance card</w:t>
      </w:r>
      <w:r>
        <w:rPr>
          <w:rFonts w:ascii="Arial" w:cs="Arial" w:eastAsia="Arial" w:hAnsi="Arial"/>
          <w:color w:val="0C2340"/>
          <w:sz w:val="22"/>
          <w:szCs w:val="22"/>
        </w:rPr>
        <w:t xml:space="preserve"> in the Results tab will show all A values.</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7.3  Workflow C — Full Quantitative Calibration (Mode 3)</w:t>
      </w:r>
    </w:p>
    <w:p>
      <w:pPr>
        <w:spacing w:after="80"/>
      </w:pPr>
      <w:r>
        <w:rPr>
          <w:rFonts w:ascii="Arial" w:cs="Arial" w:eastAsia="Arial" w:hAnsi="Arial"/>
          <w:color w:val="0C2340"/>
          <w:sz w:val="22"/>
          <w:szCs w:val="22"/>
        </w:rPr>
        <w:t xml:space="preserve"/>
      </w:r>
    </w:p>
    <w:p>
      <w:pPr>
        <w:pStyle w:val="ListParagraph"/>
        <w:numPr>
          <w:ilvl w:val="0"/>
          <w:numId w:val="4"/>
        </w:numPr>
        <w:spacing w:after="100"/>
      </w:pPr>
      <w:r>
        <w:rPr>
          <w:rFonts w:ascii="Arial" w:cs="Arial" w:eastAsia="Arial" w:hAnsi="Arial"/>
          <w:color w:val="0C2340"/>
          <w:sz w:val="22"/>
          <w:szCs w:val="22"/>
        </w:rPr>
        <w:t xml:space="preserve">Prepare and photograph an assay image that includes a blank, at least three standards of known concentration, and the unknown samples — all under the same lighting conditions.</w:t>
      </w:r>
    </w:p>
    <w:p>
      <w:pPr>
        <w:pStyle w:val="ListParagraph"/>
        <w:numPr>
          <w:ilvl w:val="0"/>
          <w:numId w:val="4"/>
        </w:numPr>
        <w:spacing w:after="100"/>
      </w:pPr>
      <w:r>
        <w:rPr>
          <w:rFonts w:ascii="Arial" w:cs="Arial" w:eastAsia="Arial" w:hAnsi="Arial"/>
          <w:color w:val="0C2340"/>
          <w:sz w:val="22"/>
          <w:szCs w:val="22"/>
        </w:rPr>
        <w:t xml:space="preserve">Upload the image in the </w:t>
      </w:r>
      <w:r>
        <w:rPr>
          <w:rFonts w:ascii="Arial" w:cs="Arial" w:eastAsia="Arial" w:hAnsi="Arial"/>
          <w:b/>
          <w:bCs/>
          <w:color w:val="0C2340"/>
          <w:sz w:val="22"/>
          <w:szCs w:val="22"/>
        </w:rPr>
        <w:t xml:space="preserve">📷 Image</w:t>
      </w:r>
      <w:r>
        <w:rPr>
          <w:rFonts w:ascii="Arial" w:cs="Arial" w:eastAsia="Arial" w:hAnsi="Arial"/>
          <w:color w:val="0C2340"/>
          <w:sz w:val="22"/>
          <w:szCs w:val="22"/>
        </w:rPr>
        <w:t xml:space="preserve"> tab.</w:t>
      </w:r>
    </w:p>
    <w:p>
      <w:pPr>
        <w:pStyle w:val="ListParagraph"/>
        <w:numPr>
          <w:ilvl w:val="0"/>
          <w:numId w:val="4"/>
        </w:numPr>
        <w:spacing w:after="100"/>
      </w:pPr>
      <w:r>
        <w:rPr>
          <w:rFonts w:ascii="Arial" w:cs="Arial" w:eastAsia="Arial" w:hAnsi="Arial"/>
          <w:color w:val="0C2340"/>
          <w:sz w:val="22"/>
          <w:szCs w:val="22"/>
        </w:rPr>
        <w:t xml:space="preserve">Define ROIs in order: one "Blank", then "Standard 1", "Standard 2", "Standard 3" (or more), then each "Sample".</w:t>
      </w:r>
    </w:p>
    <w:p>
      <w:pPr>
        <w:pStyle w:val="ListParagraph"/>
        <w:numPr>
          <w:ilvl w:val="0"/>
          <w:numId w:val="4"/>
        </w:numPr>
        <w:spacing w:after="100"/>
      </w:pPr>
      <w:r>
        <w:rPr>
          <w:rFonts w:ascii="Arial" w:cs="Arial" w:eastAsia="Arial" w:hAnsi="Arial"/>
          <w:color w:val="0C2340"/>
          <w:sz w:val="22"/>
          <w:szCs w:val="22"/>
        </w:rPr>
        <w:t xml:space="preserve">In the </w:t>
      </w:r>
      <w:r>
        <w:rPr>
          <w:rFonts w:ascii="Arial" w:cs="Arial" w:eastAsia="Arial" w:hAnsi="Arial"/>
          <w:b/>
          <w:bCs/>
          <w:color w:val="0C2340"/>
          <w:sz w:val="22"/>
          <w:szCs w:val="22"/>
        </w:rPr>
        <w:t xml:space="preserve">⚗️ Analysis</w:t>
      </w:r>
      <w:r>
        <w:rPr>
          <w:rFonts w:ascii="Arial" w:cs="Arial" w:eastAsia="Arial" w:hAnsi="Arial"/>
          <w:color w:val="0C2340"/>
          <w:sz w:val="22"/>
          <w:szCs w:val="22"/>
        </w:rPr>
        <w:t xml:space="preserve"> tab, select Mode 3. Enter the known concentration for each standard in the Standard Concentrations card.</w:t>
      </w:r>
    </w:p>
    <w:p>
      <w:pPr>
        <w:pStyle w:val="ListParagraph"/>
        <w:numPr>
          <w:ilvl w:val="0"/>
          <w:numId w:val="4"/>
        </w:numPr>
        <w:spacing w:after="100"/>
      </w:pPr>
      <w:r>
        <w:rPr>
          <w:rFonts w:ascii="Arial" w:cs="Arial" w:eastAsia="Arial" w:hAnsi="Arial"/>
          <w:color w:val="0C2340"/>
          <w:sz w:val="22"/>
          <w:szCs w:val="22"/>
        </w:rPr>
        <w:t xml:space="preserve">Enable or disable regression models as appropriate (all three are enabled by default).</w:t>
      </w:r>
    </w:p>
    <w:p>
      <w:pPr>
        <w:pStyle w:val="ListParagraph"/>
        <w:numPr>
          <w:ilvl w:val="0"/>
          <w:numId w:val="4"/>
        </w:numPr>
        <w:spacing w:after="100"/>
      </w:pPr>
      <w:r>
        <w:rPr>
          <w:rFonts w:ascii="Arial" w:cs="Arial" w:eastAsia="Arial" w:hAnsi="Arial"/>
          <w:color w:val="0C2340"/>
          <w:sz w:val="22"/>
          <w:szCs w:val="22"/>
        </w:rPr>
        <w:t xml:space="preserve">Click </w:t>
      </w:r>
      <w:r>
        <w:rPr>
          <w:rFonts w:ascii="Arial" w:cs="Arial" w:eastAsia="Arial" w:hAnsi="Arial"/>
          <w:b/>
          <w:bCs/>
          <w:color w:val="0C2340"/>
          <w:sz w:val="22"/>
          <w:szCs w:val="22"/>
        </w:rPr>
        <w:t xml:space="preserve">▶ Run Analysis</w:t>
      </w:r>
      <w:r>
        <w:rPr>
          <w:rFonts w:ascii="Arial" w:cs="Arial" w:eastAsia="Arial" w:hAnsi="Arial"/>
          <w:color w:val="0C2340"/>
          <w:sz w:val="22"/>
          <w:szCs w:val="22"/>
        </w:rPr>
        <w:t xml:space="preserve">. Review results in the </w:t>
      </w:r>
      <w:r>
        <w:rPr>
          <w:rFonts w:ascii="Arial" w:cs="Arial" w:eastAsia="Arial" w:hAnsi="Arial"/>
          <w:b/>
          <w:bCs/>
          <w:color w:val="0C2340"/>
          <w:sz w:val="22"/>
          <w:szCs w:val="22"/>
        </w:rPr>
        <w:t xml:space="preserve">📋 Results</w:t>
      </w:r>
      <w:r>
        <w:rPr>
          <w:rFonts w:ascii="Arial" w:cs="Arial" w:eastAsia="Arial" w:hAnsi="Arial"/>
          <w:color w:val="0C2340"/>
          <w:sz w:val="22"/>
          <w:szCs w:val="22"/>
        </w:rPr>
        <w:t xml:space="preserve"> and </w:t>
      </w:r>
      <w:r>
        <w:rPr>
          <w:rFonts w:ascii="Arial" w:cs="Arial" w:eastAsia="Arial" w:hAnsi="Arial"/>
          <w:b/>
          <w:bCs/>
          <w:color w:val="0C2340"/>
          <w:sz w:val="22"/>
          <w:szCs w:val="22"/>
        </w:rPr>
        <w:t xml:space="preserve">📈 Calibration</w:t>
      </w:r>
      <w:r>
        <w:rPr>
          <w:rFonts w:ascii="Arial" w:cs="Arial" w:eastAsia="Arial" w:hAnsi="Arial"/>
          <w:color w:val="0C2340"/>
          <w:sz w:val="22"/>
          <w:szCs w:val="22"/>
        </w:rPr>
        <w:t xml:space="preserve"> tabs.</w:t>
      </w:r>
    </w:p>
    <w:p>
      <w:pPr>
        <w:pBdr>
          <w:left w:val="single" w:color="1E78D4" w:sz="12" w:space="4"/>
        </w:pBdr>
        <w:shd w:fill="E6FAF7" w:val="clear"/>
        <w:spacing w:after="160" w:before="120"/>
        <w:ind w:left="200" w:right="200"/>
      </w:pPr>
      <w:r>
        <w:rPr>
          <w:rFonts w:ascii="Arial" w:cs="Arial" w:eastAsia="Arial" w:hAnsi="Arial"/>
          <w:b w:val="false"/>
          <w:bCs w:val="false"/>
          <w:i/>
          <w:iCs/>
          <w:color w:val="0C3030"/>
          <w:sz w:val="20"/>
          <w:szCs w:val="20"/>
        </w:rPr>
        <w:t xml:space="preserve">💡 TIP:  The Calibration tab displays the R² and RMSE for each fitted model. A good calibration curve should have R² ≥ 0.98. If R² is lower, consider: re-drawing ROIs, using more standards, or selecting a different regression model.</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8.  Precautions &amp; Best-Practice Guidelines</w:t>
      </w:r>
    </w:p>
    <w:p>
      <w:pPr>
        <w:spacing w:after="80"/>
      </w:pPr>
      <w:r>
        <w:rPr>
          <w:rFonts w:ascii="Arial" w:cs="Arial" w:eastAsia="Arial" w:hAnsi="Arial"/>
          <w:color w:val="0C2340"/>
          <w:sz w:val="22"/>
          <w:szCs w:val="22"/>
        </w:rPr>
        <w:t xml:space="preserve"/>
      </w:r>
    </w:p>
    <w:p>
      <w:pPr>
        <w:spacing w:after="160" w:before="40"/>
      </w:pPr>
      <w:r>
        <w:rPr>
          <w:rFonts w:ascii="Arial" w:cs="Arial" w:eastAsia="Arial" w:hAnsi="Arial"/>
          <w:color w:val="0C2340"/>
          <w:sz w:val="22"/>
          <w:szCs w:val="22"/>
        </w:rPr>
        <w:t xml:space="preserve">Adherence to the following guidelines is essential for obtaining reliable, reproducible results from ColoriSense Pro. These precautions cover image acquisition, ROI selection, calibration setup, and data interpretation.</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8.1  Image Acquisition Guidelines</w:t>
      </w:r>
    </w:p>
    <w:p>
      <w:pPr>
        <w:spacing w:after="80"/>
      </w:pPr>
      <w:r>
        <w:rPr>
          <w:rFonts w:ascii="Arial" w:cs="Arial" w:eastAsia="Arial" w:hAnsi="Arial"/>
          <w:color w:val="0C2340"/>
          <w:sz w:val="22"/>
          <w:szCs w:val="22"/>
        </w:rPr>
        <w:t xml:space="preserve"/>
      </w:r>
    </w:p>
    <w:p>
      <w:pPr>
        <w:pStyle w:val="ListParagraph"/>
        <w:numPr>
          <w:ilvl w:val="0"/>
          <w:numId w:val="2"/>
        </w:numPr>
        <w:spacing w:after="100" w:before="40"/>
      </w:pPr>
      <w:r>
        <w:rPr>
          <w:rFonts w:ascii="Arial" w:cs="Arial" w:eastAsia="Arial" w:hAnsi="Arial"/>
          <w:color w:val="0C2340"/>
          <w:sz w:val="22"/>
          <w:szCs w:val="22"/>
        </w:rPr>
        <w:t xml:space="preserve">Use consistent, diffuse, white-light illumination for all photographs. Avoid direct sunlight, harsh spotlights, or mixed light sources, as these cause specular highlights and uneven shadows that distort pixel intensity values.</w:t>
      </w:r>
    </w:p>
    <w:p>
      <w:pPr>
        <w:pStyle w:val="ListParagraph"/>
        <w:numPr>
          <w:ilvl w:val="0"/>
          <w:numId w:val="2"/>
        </w:numPr>
        <w:spacing w:after="100" w:before="40"/>
      </w:pPr>
      <w:r>
        <w:rPr>
          <w:rFonts w:ascii="Arial" w:cs="Arial" w:eastAsia="Arial" w:hAnsi="Arial"/>
          <w:color w:val="0C2340"/>
          <w:sz w:val="22"/>
          <w:szCs w:val="22"/>
        </w:rPr>
        <w:t xml:space="preserve">Photograph samples and standards in the same image where possible. If separate photographs are unavoidable, ensure identical lighting, camera settings (ISO, white balance, exposure), and background.</w:t>
      </w:r>
    </w:p>
    <w:p>
      <w:pPr>
        <w:pStyle w:val="ListParagraph"/>
        <w:numPr>
          <w:ilvl w:val="0"/>
          <w:numId w:val="2"/>
        </w:numPr>
        <w:spacing w:after="100" w:before="40"/>
      </w:pPr>
      <w:r>
        <w:rPr>
          <w:rFonts w:ascii="Arial" w:cs="Arial" w:eastAsia="Arial" w:hAnsi="Arial"/>
          <w:color w:val="0C2340"/>
          <w:sz w:val="22"/>
          <w:szCs w:val="22"/>
        </w:rPr>
        <w:t xml:space="preserve">Use a white or neutral grey background behind the sample wells or strips. Coloured backgrounds will contaminate the RGB readings of adjacent regions.</w:t>
      </w:r>
    </w:p>
    <w:p>
      <w:pPr>
        <w:pStyle w:val="ListParagraph"/>
        <w:numPr>
          <w:ilvl w:val="0"/>
          <w:numId w:val="2"/>
        </w:numPr>
        <w:spacing w:after="100" w:before="40"/>
      </w:pPr>
      <w:r>
        <w:rPr>
          <w:rFonts w:ascii="Arial" w:cs="Arial" w:eastAsia="Arial" w:hAnsi="Arial"/>
          <w:color w:val="0C2340"/>
          <w:sz w:val="22"/>
          <w:szCs w:val="22"/>
        </w:rPr>
        <w:t xml:space="preserve">Photograph perpendicular to the sample surface to minimise perspective distortion. Tilted images cause ROIs to sample unequal areas.</w:t>
      </w:r>
    </w:p>
    <w:p>
      <w:pPr>
        <w:pStyle w:val="ListParagraph"/>
        <w:numPr>
          <w:ilvl w:val="0"/>
          <w:numId w:val="2"/>
        </w:numPr>
        <w:spacing w:after="100" w:before="40"/>
      </w:pPr>
      <w:r>
        <w:rPr>
          <w:rFonts w:ascii="Arial" w:cs="Arial" w:eastAsia="Arial" w:hAnsi="Arial"/>
          <w:color w:val="0C2340"/>
          <w:sz w:val="22"/>
          <w:szCs w:val="22"/>
        </w:rPr>
        <w:t xml:space="preserve">Avoid camera flash directly on the sample — flash creates overexposed specular points (intensity ≈ 255) that skew average readings toward white.</w:t>
      </w:r>
    </w:p>
    <w:p>
      <w:pPr>
        <w:pStyle w:val="ListParagraph"/>
        <w:numPr>
          <w:ilvl w:val="0"/>
          <w:numId w:val="2"/>
        </w:numPr>
        <w:spacing w:after="100" w:before="40"/>
      </w:pPr>
      <w:r>
        <w:rPr>
          <w:rFonts w:ascii="Arial" w:cs="Arial" w:eastAsia="Arial" w:hAnsi="Arial"/>
          <w:color w:val="0C2340"/>
          <w:sz w:val="22"/>
          <w:szCs w:val="22"/>
        </w:rPr>
        <w:t xml:space="preserve">Use the highest available image resolution for the smallest ROI regions. A 5×5 pixel ROI is physically valid but statistically insufficient; aim for at least 30×30 pixels per ROI.</w:t>
      </w:r>
    </w:p>
    <w:p>
      <w:pPr>
        <w:pStyle w:val="ListParagraph"/>
        <w:numPr>
          <w:ilvl w:val="0"/>
          <w:numId w:val="2"/>
        </w:numPr>
        <w:spacing w:after="100" w:before="40"/>
      </w:pPr>
      <w:r>
        <w:rPr>
          <w:rFonts w:ascii="Arial" w:cs="Arial" w:eastAsia="Arial" w:hAnsi="Arial"/>
          <w:color w:val="0C2340"/>
          <w:sz w:val="22"/>
          <w:szCs w:val="22"/>
        </w:rPr>
        <w:t xml:space="preserve">Use RAW or highest-quality JPEG settings to minimise compression artefacts in colour-critical regions.</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8.2  Region of Interest (ROI) Selection Guidelines</w:t>
      </w:r>
    </w:p>
    <w:p>
      <w:pPr>
        <w:spacing w:after="80"/>
      </w:pPr>
      <w:r>
        <w:rPr>
          <w:rFonts w:ascii="Arial" w:cs="Arial" w:eastAsia="Arial" w:hAnsi="Arial"/>
          <w:color w:val="0C2340"/>
          <w:sz w:val="22"/>
          <w:szCs w:val="22"/>
        </w:rPr>
        <w:t xml:space="preserve"/>
      </w:r>
    </w:p>
    <w:p>
      <w:pPr>
        <w:pStyle w:val="ListParagraph"/>
        <w:numPr>
          <w:ilvl w:val="0"/>
          <w:numId w:val="2"/>
        </w:numPr>
        <w:spacing w:after="100" w:before="40"/>
      </w:pPr>
      <w:r>
        <w:rPr>
          <w:rFonts w:ascii="Arial" w:cs="Arial" w:eastAsia="Arial" w:hAnsi="Arial"/>
          <w:color w:val="0C2340"/>
          <w:sz w:val="22"/>
          <w:szCs w:val="22"/>
        </w:rPr>
        <w:t xml:space="preserve">Position ROIs strictly within the interior of each sample well or test strip. Avoid borders, edges, shadows, or reflective areas.</w:t>
      </w:r>
    </w:p>
    <w:p>
      <w:pPr>
        <w:pStyle w:val="ListParagraph"/>
        <w:numPr>
          <w:ilvl w:val="0"/>
          <w:numId w:val="2"/>
        </w:numPr>
        <w:spacing w:after="100" w:before="40"/>
      </w:pPr>
      <w:r>
        <w:rPr>
          <w:rFonts w:ascii="Arial" w:cs="Arial" w:eastAsia="Arial" w:hAnsi="Arial"/>
          <w:color w:val="0C2340"/>
          <w:sz w:val="22"/>
          <w:szCs w:val="22"/>
        </w:rPr>
        <w:t xml:space="preserve">For circular wells (e.g., microtitre plates), draw the ROI as the largest rectangle that fits within the circle to avoid sampling the edges.</w:t>
      </w:r>
    </w:p>
    <w:p>
      <w:pPr>
        <w:pStyle w:val="ListParagraph"/>
        <w:numPr>
          <w:ilvl w:val="0"/>
          <w:numId w:val="2"/>
        </w:numPr>
        <w:spacing w:after="100" w:before="40"/>
      </w:pPr>
      <w:r>
        <w:rPr>
          <w:rFonts w:ascii="Arial" w:cs="Arial" w:eastAsia="Arial" w:hAnsi="Arial"/>
          <w:color w:val="0C2340"/>
          <w:sz w:val="22"/>
          <w:szCs w:val="22"/>
        </w:rPr>
        <w:t xml:space="preserve">Keep all ROIs of comparable size, especially when comparing samples with the blank. An excessively large ROI may include background pixels if the sample area is small.</w:t>
      </w:r>
    </w:p>
    <w:p>
      <w:pPr>
        <w:pStyle w:val="ListParagraph"/>
        <w:numPr>
          <w:ilvl w:val="0"/>
          <w:numId w:val="2"/>
        </w:numPr>
        <w:spacing w:after="100" w:before="40"/>
      </w:pPr>
      <w:r>
        <w:rPr>
          <w:rFonts w:ascii="Arial" w:cs="Arial" w:eastAsia="Arial" w:hAnsi="Arial"/>
          <w:color w:val="0C2340"/>
          <w:sz w:val="22"/>
          <w:szCs w:val="22"/>
        </w:rPr>
        <w:t xml:space="preserve">Re-draw ROIs if the region appears to overlap with a bubble, scratch, or artefact visible in the image.</w:t>
      </w:r>
    </w:p>
    <w:p>
      <w:pPr>
        <w:pStyle w:val="ListParagraph"/>
        <w:numPr>
          <w:ilvl w:val="0"/>
          <w:numId w:val="2"/>
        </w:numPr>
        <w:spacing w:after="100" w:before="40"/>
      </w:pPr>
      <w:r>
        <w:rPr>
          <w:rFonts w:ascii="Arial" w:cs="Arial" w:eastAsia="Arial" w:hAnsi="Arial"/>
          <w:color w:val="0C2340"/>
          <w:sz w:val="22"/>
          <w:szCs w:val="22"/>
        </w:rPr>
        <w:t xml:space="preserve">For comparative analyses, draw ROIs in consistent positions relative to the feature being measured (e.g., always from the centre of each well).</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8.3  Calibration &amp; Standards Guidelines</w:t>
      </w:r>
    </w:p>
    <w:p>
      <w:pPr>
        <w:spacing w:after="80"/>
      </w:pPr>
      <w:r>
        <w:rPr>
          <w:rFonts w:ascii="Arial" w:cs="Arial" w:eastAsia="Arial" w:hAnsi="Arial"/>
          <w:color w:val="0C2340"/>
          <w:sz w:val="22"/>
          <w:szCs w:val="22"/>
        </w:rPr>
        <w:t xml:space="preserve"/>
      </w:r>
    </w:p>
    <w:p>
      <w:pPr>
        <w:pStyle w:val="ListParagraph"/>
        <w:numPr>
          <w:ilvl w:val="0"/>
          <w:numId w:val="2"/>
        </w:numPr>
        <w:spacing w:after="100" w:before="40"/>
      </w:pPr>
      <w:r>
        <w:rPr>
          <w:rFonts w:ascii="Arial" w:cs="Arial" w:eastAsia="Arial" w:hAnsi="Arial"/>
          <w:color w:val="0C2340"/>
          <w:sz w:val="22"/>
          <w:szCs w:val="22"/>
        </w:rPr>
        <w:t xml:space="preserve">Prepare standards using accurately measured concentrations from a freshly prepared stock solution. Errors in standard concentrations directly propagate to all back-calculated sample concentrations.</w:t>
      </w:r>
    </w:p>
    <w:p>
      <w:pPr>
        <w:pStyle w:val="ListParagraph"/>
        <w:numPr>
          <w:ilvl w:val="0"/>
          <w:numId w:val="2"/>
        </w:numPr>
        <w:spacing w:after="100" w:before="40"/>
      </w:pPr>
      <w:r>
        <w:rPr>
          <w:rFonts w:ascii="Arial" w:cs="Arial" w:eastAsia="Arial" w:hAnsi="Arial"/>
          <w:color w:val="0C2340"/>
          <w:sz w:val="22"/>
          <w:szCs w:val="22"/>
        </w:rPr>
        <w:t xml:space="preserve">Use a minimum of three standards, but preferably five or more, to span the expected concentration range of the unknown samples. The best-fit model cannot reliably extrapolate beyond the range of the standards.</w:t>
      </w:r>
    </w:p>
    <w:p>
      <w:pPr>
        <w:pStyle w:val="ListParagraph"/>
        <w:numPr>
          <w:ilvl w:val="0"/>
          <w:numId w:val="2"/>
        </w:numPr>
        <w:spacing w:after="100" w:before="40"/>
      </w:pPr>
      <w:r>
        <w:rPr>
          <w:rFonts w:ascii="Arial" w:cs="Arial" w:eastAsia="Arial" w:hAnsi="Arial"/>
          <w:color w:val="0C2340"/>
          <w:sz w:val="22"/>
          <w:szCs w:val="22"/>
        </w:rPr>
        <w:t xml:space="preserve">Include a zero-concentration standard (the blank) as a reference. This ensures the calibration curve passes through or near the origin for assays with a true zero response.</w:t>
      </w:r>
    </w:p>
    <w:p>
      <w:pPr>
        <w:pStyle w:val="ListParagraph"/>
        <w:numPr>
          <w:ilvl w:val="0"/>
          <w:numId w:val="2"/>
        </w:numPr>
        <w:spacing w:after="100" w:before="40"/>
      </w:pPr>
      <w:r>
        <w:rPr>
          <w:rFonts w:ascii="Arial" w:cs="Arial" w:eastAsia="Arial" w:hAnsi="Arial"/>
          <w:color w:val="0C2340"/>
          <w:sz w:val="22"/>
          <w:szCs w:val="22"/>
        </w:rPr>
        <w:t xml:space="preserve">When using Mode 4 (multi-blank), place blank ROIs in different corners of the image to capture any lighting gradient. The average blank value will be more representative.</w:t>
      </w:r>
    </w:p>
    <w:p>
      <w:pPr>
        <w:pStyle w:val="ListParagraph"/>
        <w:numPr>
          <w:ilvl w:val="0"/>
          <w:numId w:val="2"/>
        </w:numPr>
        <w:spacing w:after="100" w:before="40"/>
      </w:pPr>
      <w:r>
        <w:rPr>
          <w:rFonts w:ascii="Arial" w:cs="Arial" w:eastAsia="Arial" w:hAnsi="Arial"/>
          <w:color w:val="0C2340"/>
          <w:sz w:val="22"/>
          <w:szCs w:val="22"/>
        </w:rPr>
        <w:t xml:space="preserve">If R² &lt; 0.95 for all fitted models, re-evaluate the assay conditions: check for non-linearity, reagent degradation, or pipetting errors in the standards.</w:t>
      </w:r>
    </w:p>
    <w:p>
      <w:pPr>
        <w:spacing w:after="80"/>
      </w:pPr>
      <w:r>
        <w:rPr>
          <w:rFonts w:ascii="Arial" w:cs="Arial" w:eastAsia="Arial" w:hAnsi="Arial"/>
          <w:color w:val="0C2340"/>
          <w:sz w:val="22"/>
          <w:szCs w:val="22"/>
        </w:rPr>
        <w:t xml:space="preserve"/>
      </w:r>
    </w:p>
    <w:p>
      <w:pPr>
        <w:pStyle w:val="Heading2"/>
        <w:shd w:fill="1556A0" w:val="clear"/>
        <w:spacing w:after="160" w:before="340"/>
        <w:ind w:left="120"/>
      </w:pPr>
      <w:r>
        <w:rPr>
          <w:rFonts w:ascii="Arial" w:cs="Arial" w:eastAsia="Arial" w:hAnsi="Arial"/>
          <w:b/>
          <w:bCs/>
          <w:color w:val="FFFFFF"/>
          <w:sz w:val="28"/>
          <w:szCs w:val="28"/>
        </w:rPr>
        <w:t xml:space="preserve">8.4  Data Interpretation Precautions</w:t>
      </w:r>
    </w:p>
    <w:p>
      <w:pPr>
        <w:spacing w:after="80"/>
      </w:pPr>
      <w:r>
        <w:rPr>
          <w:rFonts w:ascii="Arial" w:cs="Arial" w:eastAsia="Arial" w:hAnsi="Arial"/>
          <w:color w:val="0C2340"/>
          <w:sz w:val="22"/>
          <w:szCs w:val="22"/>
        </w:rPr>
        <w:t xml:space="preserve"/>
      </w:r>
    </w:p>
    <w:p>
      <w:pPr>
        <w:pStyle w:val="ListParagraph"/>
        <w:numPr>
          <w:ilvl w:val="0"/>
          <w:numId w:val="2"/>
        </w:numPr>
        <w:spacing w:after="100" w:before="40"/>
      </w:pPr>
      <w:r>
        <w:rPr>
          <w:rFonts w:ascii="Arial" w:cs="Arial" w:eastAsia="Arial" w:hAnsi="Arial"/>
          <w:color w:val="0C2340"/>
          <w:sz w:val="22"/>
          <w:szCs w:val="22"/>
        </w:rPr>
        <w:t xml:space="preserve">ColoriSense Pro measures reflected light intensity from a digital image. It is not a direct spectrophotometric measurement. Results may differ from benchtop spectrophotometers due to camera sensor characteristics, colour management profiles, and image compression.</w:t>
      </w:r>
    </w:p>
    <w:p>
      <w:pPr>
        <w:pStyle w:val="ListParagraph"/>
        <w:numPr>
          <w:ilvl w:val="0"/>
          <w:numId w:val="2"/>
        </w:numPr>
        <w:spacing w:after="100" w:before="40"/>
      </w:pPr>
      <w:r>
        <w:rPr>
          <w:rFonts w:ascii="Arial" w:cs="Arial" w:eastAsia="Arial" w:hAnsi="Arial"/>
          <w:color w:val="0C2340"/>
          <w:sz w:val="22"/>
          <w:szCs w:val="22"/>
        </w:rPr>
        <w:t xml:space="preserve">The Beer-Lambert Law assumes a linear relationship between absorbance and concentration. If the response is non-linear, Mode 3 or 4 with the Michaelis-Menten or Logistic model is more appropriate.</w:t>
      </w:r>
    </w:p>
    <w:p>
      <w:pPr>
        <w:pStyle w:val="ListParagraph"/>
        <w:numPr>
          <w:ilvl w:val="0"/>
          <w:numId w:val="2"/>
        </w:numPr>
        <w:spacing w:after="100" w:before="40"/>
      </w:pPr>
      <w:r>
        <w:rPr>
          <w:rFonts w:ascii="Arial" w:cs="Arial" w:eastAsia="Arial" w:hAnsi="Arial"/>
          <w:color w:val="0C2340"/>
          <w:sz w:val="22"/>
          <w:szCs w:val="22"/>
        </w:rPr>
        <w:t xml:space="preserve">Grayscale intensity is inversely related to visual darkness: a darker colour (more absorbing) has a lower intensity value. A higher absorbance value therefore corresponds to a lower intensity value.</w:t>
      </w:r>
    </w:p>
    <w:p>
      <w:pPr>
        <w:pStyle w:val="ListParagraph"/>
        <w:numPr>
          <w:ilvl w:val="0"/>
          <w:numId w:val="2"/>
        </w:numPr>
        <w:spacing w:after="100" w:before="40"/>
      </w:pPr>
      <w:r>
        <w:rPr>
          <w:rFonts w:ascii="Arial" w:cs="Arial" w:eastAsia="Arial" w:hAnsi="Arial"/>
          <w:color w:val="0C2340"/>
          <w:sz w:val="22"/>
          <w:szCs w:val="22"/>
        </w:rPr>
        <w:t xml:space="preserve">All concentration values are in the units entered for the standards. Ensure unit consistency — do not mix mg/L and µg/mL.</w:t>
      </w:r>
    </w:p>
    <w:p>
      <w:pPr>
        <w:pStyle w:val="ListParagraph"/>
        <w:numPr>
          <w:ilvl w:val="0"/>
          <w:numId w:val="2"/>
        </w:numPr>
        <w:spacing w:after="100" w:before="40"/>
      </w:pPr>
      <w:r>
        <w:rPr>
          <w:rFonts w:ascii="Arial" w:cs="Arial" w:eastAsia="Arial" w:hAnsi="Arial"/>
          <w:color w:val="0C2340"/>
          <w:sz w:val="22"/>
          <w:szCs w:val="22"/>
        </w:rPr>
        <w:t xml:space="preserve">Results are only as good as the image quality and ROI placement. Always repeat measurements with at least three technical replicates.</w:t>
      </w:r>
    </w:p>
    <w:p>
      <w:pPr>
        <w:pBdr>
          <w:left w:val="single" w:color="1E78D4" w:sz="12" w:space="4"/>
        </w:pBdr>
        <w:shd w:fill="FFF8E1" w:val="clear"/>
        <w:spacing w:after="160" w:before="120"/>
        <w:ind w:left="200" w:right="200"/>
      </w:pPr>
      <w:r>
        <w:rPr>
          <w:rFonts w:ascii="Arial" w:cs="Arial" w:eastAsia="Arial" w:hAnsi="Arial"/>
          <w:b/>
          <w:bCs/>
          <w:i w:val="false"/>
          <w:iCs w:val="false"/>
          <w:color w:val="5A3800"/>
          <w:sz w:val="20"/>
          <w:szCs w:val="20"/>
        </w:rPr>
        <w:t xml:space="preserve">⚠ IMPORTANT:  ColoriSense Pro does not perform instrument calibration or temperature correction. For publication-quality data, confirm key results with a certified spectrophotometer.</w:t>
      </w:r>
    </w:p>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9.  Troubleshooting</w:t>
      </w:r>
    </w:p>
    <w:p>
      <w:pPr>
        <w:spacing w:after="80"/>
      </w:pPr>
      <w:r>
        <w:rPr>
          <w:rFonts w:ascii="Arial" w:cs="Arial" w:eastAsia="Arial" w:hAnsi="Arial"/>
          <w:color w:val="0C234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Problem</w:t>
            </w:r>
          </w:p>
        </w:tc>
        <w:tc>
          <w:tcPr>
            <w:tcW w:type="dxa" w:w="24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Likely Cause</w:t>
            </w:r>
          </w:p>
        </w:tc>
        <w:tc>
          <w:tcPr>
            <w:tcW w:type="dxa" w:w="45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Solution</w:t>
            </w:r>
          </w:p>
        </w:tc>
      </w:tr>
      <w:tr>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"No regions defined" error when running analysis</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No ROIs drawn on the image</w:t>
            </w:r>
          </w:p>
        </w:tc>
        <w:tc>
          <w:tcPr>
            <w:tcW w:type="dxa" w:w="45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Navigate to the Image tab, load an image, and draw at least one region before running analysis</w:t>
            </w:r>
          </w:p>
        </w:tc>
      </w:tr>
      <w:tr>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Absorbance values show "—"</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region intensity is zero or the blank has zero intensity</w:t>
            </w:r>
          </w:p>
        </w:tc>
        <w:tc>
          <w:tcPr>
            <w:tcW w:type="dxa" w:w="45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Re-draw the ROI ensuring it is inside the sample area. Check image is not completely black in that region</w:t>
            </w:r>
          </w:p>
        </w:tc>
      </w:tr>
      <w:tr>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R² is very low (&lt; 0.90)</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Too few standards, incorrect concentrations entered, or poor assay linearity</w:t>
            </w:r>
          </w:p>
        </w:tc>
        <w:tc>
          <w:tcPr>
            <w:tcW w:type="dxa" w:w="45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Add more standard points; verify concentration values; consider switching to the Logistic or Michaelis-Menten model</w:t>
            </w:r>
          </w:p>
        </w:tc>
      </w:tr>
      <w:tr>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Image appears very small or distorted on canvas</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Extreme aspect ratios or very large image files</w:t>
            </w:r>
          </w:p>
        </w:tc>
        <w:tc>
          <w:tcPr>
            <w:tcW w:type="dxa" w:w="45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Pre-resize the image to under 3000×3000 pixels before uploading</w:t>
            </w:r>
          </w:p>
        </w:tc>
      </w:tr>
      <w:tr>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App is slow or unresponsive after loading a large image</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High-resolution image with many pixels being processed</w:t>
            </w:r>
          </w:p>
        </w:tc>
        <w:tc>
          <w:tcPr>
            <w:tcW w:type="dxa" w:w="45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Use a compressed JPEG or downscale the image. For standard colorimetric strips, 800×600 px is sufficient</w:t>
            </w:r>
          </w:p>
        </w:tc>
      </w:tr>
      <w:tr>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Histogram is completely flat (all bars the same height)</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The ROI is over a very uniform region or an artefact</w:t>
            </w:r>
          </w:p>
        </w:tc>
        <w:tc>
          <w:tcPr>
            <w:tcW w:type="dxa" w:w="45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Check the ROI is correctly positioned and not over a white background</w:t>
            </w:r>
          </w:p>
        </w:tc>
      </w:tr>
      <w:tr>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Touch drawing on mobile does not work</w:t>
            </w:r>
          </w:p>
        </w:tc>
        <w:tc>
          <w:tcPr>
            <w:tcW w:type="dxa" w:w="24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Browser blocks touch events</w:t>
            </w:r>
          </w:p>
        </w:tc>
        <w:tc>
          <w:tcPr>
            <w:tcW w:type="dxa" w:w="45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Ensure you are using a supported browser (Chrome or Safari) and that JavaScript is enabled</w:t>
            </w:r>
          </w:p>
        </w:tc>
      </w:tr>
      <w:tr>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Analysis runs but no calibration curve appears</w:t>
            </w:r>
          </w:p>
        </w:tc>
        <w:tc>
          <w:tcPr>
            <w:tcW w:type="dxa" w:w="24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 1 or 2 was selected (calibration only appears for Mode 3/4)</w:t>
            </w:r>
          </w:p>
        </w:tc>
        <w:tc>
          <w:tcPr>
            <w:tcW w:type="dxa" w:w="45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Switch to Mode 3 or 4 and ensure standard concentrations have been entered</w:t>
            </w:r>
          </w:p>
        </w:tc>
      </w:tr>
    </w:tbl>
    <w:p>
      <w:pPr>
        <w:spacing w:after="0"/>
      </w:pPr>
      <w:r>
        <w:br/>
        <w:t xml:space="preserve"/>
      </w:r>
    </w:p>
    <w:p>
      <w:pPr>
        <w:pStyle w:val="Heading1"/>
        <w:shd w:fill="0C2340" w:val="clear"/>
        <w:spacing w:after="200" w:before="400"/>
        <w:ind w:left="200" w:right="200"/>
      </w:pPr>
      <w:r>
        <w:rPr>
          <w:rFonts w:ascii="Arial" w:cs="Arial" w:eastAsia="Arial" w:hAnsi="Arial"/>
          <w:b/>
          <w:bCs/>
          <w:color w:val="FFFFFF"/>
          <w:sz w:val="36"/>
          <w:szCs w:val="36"/>
        </w:rPr>
        <w:t xml:space="preserve">10.  Glossary of Terms</w:t>
      </w:r>
    </w:p>
    <w:p>
      <w:pPr>
        <w:spacing w:after="80"/>
      </w:pPr>
      <w:r>
        <w:rPr>
          <w:rFonts w:ascii="Arial" w:cs="Arial" w:eastAsia="Arial" w:hAnsi="Arial"/>
          <w:color w:val="0C234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Term</w:t>
            </w:r>
          </w:p>
        </w:tc>
        <w:tc>
          <w:tcPr>
            <w:tcW w:type="dxa" w:w="6760"/>
            <w:tcBorders>
              <w:top w:val="single" w:color="FFFFFF" w:sz="2"/>
              <w:left w:val="single" w:color="FFFFFF" w:sz="1"/>
              <w:bottom w:val="single" w:color="FFFFFF" w:sz="2"/>
              <w:right w:val="single" w:color="FFFFFF" w:sz="1"/>
            </w:tcBorders>
            <w:shd w:fill="1556A0" w:val="clear"/>
            <w:tcMar>
              <w:top w:type="dxa" w:w="80"/>
              <w:left w:type="dxa" w:w="140"/>
              <w:bottom w:type="dxa" w:w="80"/>
              <w:right w:type="dxa" w:w="140"/>
            </w:tcMar>
          </w:tcPr>
          <w:p>
            <w:pPr>
              <w:spacing w:after="0"/>
            </w:pPr>
            <w:r>
              <w:rPr>
                <w:rFonts w:ascii="Arial" w:cs="Arial" w:eastAsia="Arial" w:hAnsi="Arial"/>
                <w:b/>
                <w:bCs/>
                <w:color w:val="FFFFFF"/>
                <w:sz w:val="20"/>
                <w:szCs w:val="20"/>
              </w:rPr>
              <w:t xml:space="preserve">Definition</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Absorbance (A)</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 dimensionless logarithmic ratio expressing how much light a substance absorbs: A = log₁₀(I_blank / I_sample). Higher A = darker colour = more light absorbed.</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Beer-Lambert Law</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physical law stating that the absorbance of a substance is directly proportional to its concentration and path length, provided the solution obeys ideal behaviour.</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Blank</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 reference region containing no analyte (or the unreacted reagent). Used to establish the baseline intensity against which samples are compared.</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Calibration Curve</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graph relating known standard concentrations (X-axis) to measured intensities or absorbances (Y-axis). Used to interpolate unknown concentrations from measured intensities.</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Canvas API</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The HTML5 browser technology used by ColoriSense Pro to render the image, overlay ROI rectangles, draw histograms, and plot calibration curves — all without external libraries.</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Colorimetric Assay</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An analytical method in which the concentration of a substance is determined by measuring the colour intensity it produces in a chemical reaction.</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Grayscale Intensity</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 single number (0–255) representing the perceived brightness of a pixel, calculated from its RGB values using the ITU-R BT.601 formula.</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HEX Code</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six-character hexadecimal representation of a colour (e.g., #1E78D4). Each pair of characters encodes the red, green, and blue channel values (00–FF).</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ITU-R BT.601</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An international standard defining the conversion of RGB colour to a luminance (grayscale) value. The formula I = 0.299R + 0.587G + 0.114B is derived from this standard.</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Michaelis-Menten Model</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hyperbolic mathematical model originally from enzyme kinetics. In colorimetry, it describes intensity responses that plateau (saturate) at high concentrations: y = (Vmax · x) / (Km + x).</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Mode</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One of four analysis configurations in ColoriSense Pro, ranging from simple qualitative ranking (Mode 1) to full quantitative calibration (Modes 3 and 4).</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R² (R-squared)</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The coefficient of determination. A value between 0 and 1 indicating how well a regression model fits the data. R² = 1.0 is a perfect fit; R² &lt; 0.95 suggests poor calibration.</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Region of Interest (ROI)</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 user-defined rectangular area drawn on the image canvas. The application extracts pixel data only from within this rectangle.</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RMSE</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Root-Mean-Square Error. A measure of the average magnitude of prediction errors from a regression model; lower values indicate better fit.</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RGB</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Red, Green, Blue — the three colour channels in a digital image. Each channel value ranges from 0 (none) to 255 (maximum).</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Sample</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region of unknown analyte concentration (or qualitative colour intensity) to be compared against blanks and/or standards.</w:t>
            </w:r>
          </w:p>
        </w:tc>
      </w:tr>
      <w:tr>
        <w:tc>
          <w:tcPr>
            <w:tcW w:type="dxa" w:w="260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Sigmoid / Logistic Model</w:t>
            </w:r>
          </w:p>
        </w:tc>
        <w:tc>
          <w:tcPr>
            <w:tcW w:type="dxa" w:w="6760"/>
            <w:tcBorders>
              <w:top w:val="single" w:color="C5D9F0" w:sz="1"/>
              <w:left w:val="single" w:color="C5D9F0" w:sz="1"/>
              <w:bottom w:val="single" w:color="C5D9F0" w:sz="1"/>
              <w:right w:val="single" w:color="C5D9F0" w:sz="1"/>
            </w:tcBorders>
            <w:shd w:fill="EAF5FF" w:val="clear"/>
            <w:tcMar>
              <w:top w:type="dxa" w:w="80"/>
              <w:left w:type="dxa" w:w="140"/>
              <w:bottom w:type="dxa" w:w="80"/>
              <w:right w:type="dxa" w:w="140"/>
            </w:tcMar>
          </w:tcPr>
          <w:p>
            <w:pPr>
              <w:spacing w:after="0"/>
            </w:pPr>
            <w:r>
              <w:rPr>
                <w:rFonts w:ascii="Arial" w:cs="Arial" w:eastAsia="Arial" w:hAnsi="Arial"/>
                <w:color w:val="0C2340"/>
                <w:sz w:val="20"/>
                <w:szCs w:val="20"/>
              </w:rPr>
              <w:t xml:space="preserve">An S-shaped curve model: y = a / (1 + e^(−b(x − c))). Used when the intensity response increases gradually at low concentrations, steeply in the mid-range, and then plateaus.</w:t>
            </w:r>
          </w:p>
        </w:tc>
      </w:tr>
      <w:tr>
        <w:tc>
          <w:tcPr>
            <w:tcW w:type="dxa" w:w="260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Standard</w:t>
            </w:r>
          </w:p>
        </w:tc>
        <w:tc>
          <w:tcPr>
            <w:tcW w:type="dxa" w:w="6760"/>
            <w:tcBorders>
              <w:top w:val="single" w:color="C5D9F0" w:sz="1"/>
              <w:left w:val="single" w:color="C5D9F0" w:sz="1"/>
              <w:bottom w:val="single" w:color="C5D9F0" w:sz="1"/>
              <w:right w:val="single" w:color="C5D9F0" w:sz="1"/>
            </w:tcBorders>
            <w:shd w:fill="FFFFFF" w:val="clear"/>
            <w:tcMar>
              <w:top w:type="dxa" w:w="80"/>
              <w:left w:type="dxa" w:w="140"/>
              <w:bottom w:type="dxa" w:w="80"/>
              <w:right w:type="dxa" w:w="140"/>
            </w:tcMar>
          </w:tcPr>
          <w:p>
            <w:pPr>
              <w:spacing w:after="0"/>
            </w:pPr>
            <w:r>
              <w:rPr>
                <w:rFonts w:ascii="Arial" w:cs="Arial" w:eastAsia="Arial" w:hAnsi="Arial"/>
                <w:color w:val="0C2340"/>
                <w:sz w:val="20"/>
                <w:szCs w:val="20"/>
              </w:rPr>
              <w:t xml:space="preserve">A region prepared with a precisely known analyte concentration. Standards define the calibration curve.</w:t>
            </w:r>
          </w:p>
        </w:tc>
      </w:tr>
    </w:tbl>
    <w:p>
      <w:pPr>
        <w:spacing w:after="160"/>
      </w:pPr>
      <w:r>
        <w:rPr>
          <w:rFonts w:ascii="Arial" w:cs="Arial" w:eastAsia="Arial" w:hAnsi="Arial"/>
          <w:color w:val="0C2340"/>
          <w:sz w:val="22"/>
          <w:szCs w:val="22"/>
        </w:rPr>
        <w:t xml:space="preserve"/>
      </w:r>
    </w:p>
    <w:p>
      <w:pPr>
        <w:pBdr>
          <w:bottom w:val="single" w:color="E8F1FB" w:sz="4" w:space="1"/>
        </w:pBdr>
        <w:spacing w:after="200" w:before="200"/>
      </w:pPr>
    </w:p>
    <w:p>
      <w:pPr>
        <w:spacing w:after="100" w:before="200"/>
        <w:jc w:val="center"/>
      </w:pPr>
      <w:r>
        <w:rPr>
          <w:rFonts w:ascii="Arial" w:cs="Arial" w:eastAsia="Arial" w:hAnsi="Arial"/>
          <w:i/>
          <w:iCs/>
          <w:color w:val="3D6A9A"/>
          <w:sz w:val="20"/>
          <w:szCs w:val="20"/>
        </w:rPr>
        <w:t xml:space="preserve">End of Document</w:t>
      </w:r>
    </w:p>
    <w:p>
      <w:pPr>
        <w:spacing w:after="0"/>
        <w:jc w:val="center"/>
      </w:pPr>
      <w:r>
        <w:rPr>
          <w:rFonts w:ascii="Arial" w:cs="Arial" w:eastAsia="Arial" w:hAnsi="Arial"/>
          <w:color w:val="3D6A9A"/>
          <w:sz w:val="18"/>
          <w:szCs w:val="18"/>
        </w:rPr>
        <w:t xml:space="preserve">ColoriSense Pro  ·  Victor Omiyale A.  ·  Department of Biotechnology, FUTA  ·  Supervisor: Dr. A. M. Ogunmolasuyi</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E4FF" w:sz="4" w:space="2"/>
      </w:pBdr>
      <w:jc w:val="center"/>
    </w:pPr>
    <w:r>
      <w:rPr>
        <w:rFonts w:ascii="Arial" w:cs="Arial" w:eastAsia="Arial" w:hAnsi="Arial"/>
        <w:color w:val="3D6A9A"/>
        <w:sz w:val="16"/>
        <w:szCs w:val="16"/>
      </w:rPr>
      <w:t xml:space="preserve">ColoriSense Pro  ·  Department of Biotechnology, FUTA  ·  Page </w:t>
    </w:r>
    <w:r>
      <w:rPr>
        <w:rFonts w:ascii="Arial" w:cs="Arial" w:eastAsia="Arial" w:hAnsi="Arial"/>
        <w:color w:val="3D6A9A"/>
        <w:sz w:val="16"/>
        <w:szCs w:val="16"/>
      </w:rPr>
      <w:fldChar w:fldCharType="begin"/>
      <w:instrText xml:space="preserve">PAGE</w:instrText>
      <w:fldChar w:fldCharType="separate"/>
      <w:fldChar w:fldCharType="end"/>
    </w:r>
    <w:r>
      <w:rPr>
        <w:rFonts w:ascii="Arial" w:cs="Arial" w:eastAsia="Arial" w:hAnsi="Arial"/>
        <w:color w:val="3D6A9A"/>
        <w:sz w:val="16"/>
        <w:szCs w:val="16"/>
      </w:rPr>
      <w:t xml:space="preserve"> of </w:t>
    </w:r>
    <w:r>
      <w:rPr>
        <w:rFonts w:ascii="Arial" w:cs="Arial" w:eastAsia="Arial" w:hAnsi="Arial"/>
        <w:color w:val="3D6A9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E4FF" w:sz="4" w:space="2"/>
      </w:pBdr>
      <w:spacing w:after="100"/>
    </w:pPr>
    <w:r>
      <w:rPr>
        <w:rFonts w:ascii="Arial" w:cs="Arial" w:eastAsia="Arial" w:hAnsi="Arial"/>
        <w:color w:val="3D6A9A"/>
        <w:sz w:val="18"/>
        <w:szCs w:val="18"/>
      </w:rPr>
      <w:t xml:space="preserve">ColoriSense Pro  —  User Manual &amp; Technical Reference</w:t>
    </w:r>
    <w:r>
      <w:rPr>
        <w:rFonts w:ascii="Arial" w:cs="Arial" w:eastAsia="Arial" w:hAnsi="Arial"/>
        <w:i/>
        <w:iCs/>
        <w:color w:val="3D6A9A"/>
        <w:sz w:val="16"/>
        <w:szCs w:val="16"/>
      </w:rPr>
      <w:t xml:space="preserve">     Biosensor &amp; Diagnostics Lab · FUTA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40"/>
      <w:outlineLvl w:val="1"/>
    </w:pPr>
    <w:rPr>
      <w:rFonts w:ascii="Arial" w:cs="Arial" w:eastAsia="Arial" w:hAnsi="Arial"/>
      <w:b/>
      <w:bCs/>
      <w:color w:val="FFFFFF"/>
      <w:sz w:val="28"/>
      <w:szCs w:val="28"/>
    </w:rPr>
  </w:style>
  <w:style w:type="paragraph" w:styleId="Heading3">
    <w:name w:val="Heading 3"/>
    <w:basedOn w:val="Normal"/>
    <w:next w:val="Normal"/>
    <w:qFormat/>
    <w:pPr>
      <w:spacing w:after="120" w:before="280"/>
      <w:outlineLvl w:val="2"/>
    </w:pPr>
    <w:rPr>
      <w:rFonts w:ascii="Arial" w:cs="Arial" w:eastAsia="Arial" w:hAnsi="Arial"/>
      <w:b/>
      <w:bCs/>
      <w:color w:val="0C23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2026-04-21T04:52:54.267Z</dcterms:created>
  <dcterms:modified xsi:type="dcterms:W3CDTF">2026-04-21T04:52:54.268Z</dcterms:modified>
</cp:coreProperties>
</file>

<file path=docProps/custom.xml><?xml version="1.0" encoding="utf-8"?>
<Properties xmlns="http://schemas.openxmlformats.org/officeDocument/2006/custom-properties" xmlns:vt="http://schemas.openxmlformats.org/officeDocument/2006/docPropsVTypes"/>
</file>