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DE41B" w14:textId="786518F4" w:rsidR="00314E0F" w:rsidRDefault="00C81172" w:rsidP="00C81172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81172">
        <w:rPr>
          <w:rFonts w:ascii="Times New Roman" w:hAnsi="Times New Roman" w:cs="Times New Roman"/>
          <w:b/>
          <w:bCs/>
          <w:sz w:val="28"/>
          <w:szCs w:val="28"/>
        </w:rPr>
        <w:t>Puertos y adaptadores de la plataforma logística</w:t>
      </w:r>
    </w:p>
    <w:p w14:paraId="597B30CA" w14:textId="660BA1CD" w:rsidR="00C81172" w:rsidRDefault="00C81172" w:rsidP="00C81172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F6B86A" w14:textId="77777777" w:rsidR="00C81172" w:rsidRPr="00C81172" w:rsidRDefault="00C81172" w:rsidP="00C81172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C81172">
        <w:rPr>
          <w:rFonts w:ascii="Times New Roman" w:hAnsi="Times New Roman" w:cs="Times New Roman"/>
          <w:b/>
          <w:bCs/>
          <w:sz w:val="24"/>
          <w:szCs w:val="24"/>
        </w:rPr>
        <w:t>1. Introducción</w:t>
      </w:r>
    </w:p>
    <w:p w14:paraId="380DA655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7EB2CD09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  <w:r w:rsidRPr="00C81172">
        <w:rPr>
          <w:rFonts w:ascii="Times New Roman" w:hAnsi="Times New Roman" w:cs="Times New Roman"/>
          <w:sz w:val="24"/>
          <w:szCs w:val="24"/>
        </w:rPr>
        <w:t>La estructura de la plataforma logística debe diferenciar las normas del negocio de los aspectos técnicos. Para lograr esto, se sugiere el uso de puertos y adaptadores, lo que permite que los componentes interactúen sin depender de una tecnología específica.</w:t>
      </w:r>
    </w:p>
    <w:p w14:paraId="2C70E162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0183440C" w14:textId="77777777" w:rsidR="00C81172" w:rsidRPr="00C81172" w:rsidRDefault="00C81172" w:rsidP="00C81172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C81172">
        <w:rPr>
          <w:rFonts w:ascii="Times New Roman" w:hAnsi="Times New Roman" w:cs="Times New Roman"/>
          <w:b/>
          <w:bCs/>
          <w:sz w:val="24"/>
          <w:szCs w:val="24"/>
        </w:rPr>
        <w:t>2. Puertos principales</w:t>
      </w:r>
    </w:p>
    <w:p w14:paraId="23D632DD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B6A0C18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  <w:r w:rsidRPr="00C81172">
        <w:rPr>
          <w:rFonts w:ascii="Times New Roman" w:hAnsi="Times New Roman" w:cs="Times New Roman"/>
          <w:sz w:val="24"/>
          <w:szCs w:val="24"/>
        </w:rPr>
        <w:t>Los puertos establecen las funciones que el sistema requiere para desempeñar sus tareas.</w:t>
      </w:r>
    </w:p>
    <w:p w14:paraId="5E5EE8D2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7A169854" w14:textId="77777777" w:rsidR="00C81172" w:rsidRPr="00C81172" w:rsidRDefault="00C81172" w:rsidP="00C8117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1172">
        <w:rPr>
          <w:rFonts w:ascii="Times New Roman" w:hAnsi="Times New Roman" w:cs="Times New Roman"/>
          <w:sz w:val="24"/>
          <w:szCs w:val="24"/>
        </w:rPr>
        <w:t>IDeliveryRepository: permite consultar y almacenar las entregas.</w:t>
      </w:r>
    </w:p>
    <w:p w14:paraId="4FDEB8C3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2E63008F" w14:textId="77777777" w:rsidR="00C81172" w:rsidRPr="00C81172" w:rsidRDefault="00C81172" w:rsidP="00C8117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1172">
        <w:rPr>
          <w:rFonts w:ascii="Times New Roman" w:hAnsi="Times New Roman" w:cs="Times New Roman"/>
          <w:sz w:val="24"/>
          <w:szCs w:val="24"/>
        </w:rPr>
        <w:t>ICourierAvailability: permite comprobar la disponibilidad de un mensajero.</w:t>
      </w:r>
    </w:p>
    <w:p w14:paraId="2719411F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0EE40D91" w14:textId="77777777" w:rsidR="00C81172" w:rsidRPr="00C81172" w:rsidRDefault="00C81172" w:rsidP="00C8117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1172">
        <w:rPr>
          <w:rFonts w:ascii="Times New Roman" w:hAnsi="Times New Roman" w:cs="Times New Roman"/>
          <w:sz w:val="24"/>
          <w:szCs w:val="24"/>
        </w:rPr>
        <w:t>IAssignmentNotifier: permite comunicar los resultados de una asignación.</w:t>
      </w:r>
    </w:p>
    <w:p w14:paraId="5DE93C34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57B79080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  <w:r w:rsidRPr="00C81172">
        <w:rPr>
          <w:rFonts w:ascii="Times New Roman" w:hAnsi="Times New Roman" w:cs="Times New Roman"/>
          <w:sz w:val="24"/>
          <w:szCs w:val="24"/>
        </w:rPr>
        <w:t>Estos contratos determinan las necesidades de la aplicación sin depender de una implementación particular.</w:t>
      </w:r>
    </w:p>
    <w:p w14:paraId="382F50C6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0A3A8058" w14:textId="77777777" w:rsidR="00C81172" w:rsidRPr="00C81172" w:rsidRDefault="00C81172" w:rsidP="00C81172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C81172">
        <w:rPr>
          <w:rFonts w:ascii="Times New Roman" w:hAnsi="Times New Roman" w:cs="Times New Roman"/>
          <w:b/>
          <w:bCs/>
          <w:sz w:val="24"/>
          <w:szCs w:val="24"/>
        </w:rPr>
        <w:t>3. Adaptadores</w:t>
      </w:r>
    </w:p>
    <w:p w14:paraId="015A5D3B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02B748D3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  <w:r w:rsidRPr="00C81172">
        <w:rPr>
          <w:rFonts w:ascii="Times New Roman" w:hAnsi="Times New Roman" w:cs="Times New Roman"/>
          <w:sz w:val="24"/>
          <w:szCs w:val="24"/>
        </w:rPr>
        <w:t>Los adaptadores llevan a cabo la comunicación con los recursos externos.</w:t>
      </w:r>
    </w:p>
    <w:p w14:paraId="4C717675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37DA477F" w14:textId="77777777" w:rsidR="00C81172" w:rsidRPr="00C81172" w:rsidRDefault="00C81172" w:rsidP="00C8117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1172">
        <w:rPr>
          <w:rFonts w:ascii="Times New Roman" w:hAnsi="Times New Roman" w:cs="Times New Roman"/>
          <w:sz w:val="24"/>
          <w:szCs w:val="24"/>
        </w:rPr>
        <w:t>Adaptador de persistencia: consulta y almacena la información de las entregas.</w:t>
      </w:r>
    </w:p>
    <w:p w14:paraId="4BF5AE53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2B2D822A" w14:textId="77777777" w:rsidR="00C81172" w:rsidRPr="00C81172" w:rsidRDefault="00C81172" w:rsidP="00C8117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1172">
        <w:rPr>
          <w:rFonts w:ascii="Times New Roman" w:hAnsi="Times New Roman" w:cs="Times New Roman"/>
          <w:sz w:val="24"/>
          <w:szCs w:val="24"/>
        </w:rPr>
        <w:t>Adaptador de disponibilidad: obtiene la disponibilidad del mensajero desde la fuente correspondiente.</w:t>
      </w:r>
    </w:p>
    <w:p w14:paraId="0BE76133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46889022" w14:textId="77777777" w:rsidR="00C81172" w:rsidRPr="00C81172" w:rsidRDefault="00C81172" w:rsidP="00C8117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1172">
        <w:rPr>
          <w:rFonts w:ascii="Times New Roman" w:hAnsi="Times New Roman" w:cs="Times New Roman"/>
          <w:sz w:val="24"/>
          <w:szCs w:val="24"/>
        </w:rPr>
        <w:t>Adaptador de notificaciones: transmite los resultados a través del mecanismo definido por la plataforma.</w:t>
      </w:r>
    </w:p>
    <w:p w14:paraId="000E4172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3DF164C4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  <w:r w:rsidRPr="00C81172">
        <w:rPr>
          <w:rFonts w:ascii="Times New Roman" w:hAnsi="Times New Roman" w:cs="Times New Roman"/>
          <w:sz w:val="24"/>
          <w:szCs w:val="24"/>
        </w:rPr>
        <w:t>Los adaptadores pueden modificarse sin alterar las reglas fundamentales del negocio, siempre que cumplan con los contratos establecidos.</w:t>
      </w:r>
    </w:p>
    <w:p w14:paraId="70B38F70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3392BA2B" w14:textId="77777777" w:rsidR="00C81172" w:rsidRPr="00C81172" w:rsidRDefault="00C81172" w:rsidP="00C81172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C81172">
        <w:rPr>
          <w:rFonts w:ascii="Times New Roman" w:hAnsi="Times New Roman" w:cs="Times New Roman"/>
          <w:b/>
          <w:bCs/>
          <w:sz w:val="24"/>
          <w:szCs w:val="24"/>
        </w:rPr>
        <w:t>4. Relación con el caso de uso</w:t>
      </w:r>
    </w:p>
    <w:p w14:paraId="1EFCCE7A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389E367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  <w:r w:rsidRPr="00C81172">
        <w:rPr>
          <w:rFonts w:ascii="Times New Roman" w:hAnsi="Times New Roman" w:cs="Times New Roman"/>
          <w:sz w:val="24"/>
          <w:szCs w:val="24"/>
        </w:rPr>
        <w:t>AssignCourierUseCase se encarga de coordinar la asignación de un mensajero. Para ello, emplea el repositorio de entregas, verifica el puerto de disponibilidad, valida las reglas a través de Delivery y guarda el resultado.</w:t>
      </w:r>
    </w:p>
    <w:p w14:paraId="3BE5D264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7AC51659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  <w:r w:rsidRPr="00C81172">
        <w:rPr>
          <w:rFonts w:ascii="Times New Roman" w:hAnsi="Times New Roman" w:cs="Times New Roman"/>
          <w:sz w:val="24"/>
          <w:szCs w:val="24"/>
        </w:rPr>
        <w:t>De este modo, el caso de uso se basa en contratos y no en tecnologías específicas.</w:t>
      </w:r>
    </w:p>
    <w:p w14:paraId="75F7543B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2C675E09" w14:textId="77777777" w:rsidR="00C81172" w:rsidRPr="00C81172" w:rsidRDefault="00C81172" w:rsidP="00C81172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C81172">
        <w:rPr>
          <w:rFonts w:ascii="Times New Roman" w:hAnsi="Times New Roman" w:cs="Times New Roman"/>
          <w:b/>
          <w:bCs/>
          <w:sz w:val="24"/>
          <w:szCs w:val="24"/>
        </w:rPr>
        <w:t>5. Beneficios</w:t>
      </w:r>
    </w:p>
    <w:p w14:paraId="148F49D3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580FF33A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  <w:r w:rsidRPr="00C81172">
        <w:rPr>
          <w:rFonts w:ascii="Times New Roman" w:hAnsi="Times New Roman" w:cs="Times New Roman"/>
          <w:sz w:val="24"/>
          <w:szCs w:val="24"/>
        </w:rPr>
        <w:t>Esta organización simplifica las pruebas, permite sustituir servicios externos y disminuye la interdependencia entre los componentes. Además, contribuye a mantener las normas del negocio separadas de la base de datos y de otros sistemas.</w:t>
      </w:r>
    </w:p>
    <w:p w14:paraId="76F2CE29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5BDBEFC8" w14:textId="77777777" w:rsidR="00C81172" w:rsidRPr="00C81172" w:rsidRDefault="00C81172" w:rsidP="00C81172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C81172">
        <w:rPr>
          <w:rFonts w:ascii="Times New Roman" w:hAnsi="Times New Roman" w:cs="Times New Roman"/>
          <w:b/>
          <w:bCs/>
          <w:sz w:val="24"/>
          <w:szCs w:val="24"/>
        </w:rPr>
        <w:t>6. Conclusión</w:t>
      </w:r>
    </w:p>
    <w:p w14:paraId="1F8AB349" w14:textId="77777777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74B2F4E" w14:textId="270CB304" w:rsidR="00C81172" w:rsidRPr="00C81172" w:rsidRDefault="00C81172" w:rsidP="00C81172">
      <w:pPr>
        <w:ind w:left="0"/>
        <w:rPr>
          <w:rFonts w:ascii="Times New Roman" w:hAnsi="Times New Roman" w:cs="Times New Roman"/>
          <w:sz w:val="24"/>
          <w:szCs w:val="24"/>
        </w:rPr>
      </w:pPr>
      <w:r w:rsidRPr="00C81172">
        <w:rPr>
          <w:rFonts w:ascii="Times New Roman" w:hAnsi="Times New Roman" w:cs="Times New Roman"/>
          <w:sz w:val="24"/>
          <w:szCs w:val="24"/>
        </w:rPr>
        <w:t>Los puertos y adaptadores facilitan que la plataforma logística se comunique con sus recursos externos de manera estructurada. Así, la lógica del negocio permanece protegida y la infraestructura puede evolucionar sin impactar directamente en las operaciones principales.</w:t>
      </w:r>
    </w:p>
    <w:sectPr w:rsidR="00C81172" w:rsidRPr="00C811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C316C"/>
    <w:multiLevelType w:val="hybridMultilevel"/>
    <w:tmpl w:val="60306CC8"/>
    <w:lvl w:ilvl="0" w:tplc="2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4D34171E"/>
    <w:multiLevelType w:val="hybridMultilevel"/>
    <w:tmpl w:val="290CFCD4"/>
    <w:lvl w:ilvl="0" w:tplc="2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04"/>
    <w:rsid w:val="001622A2"/>
    <w:rsid w:val="00314E0F"/>
    <w:rsid w:val="0032226A"/>
    <w:rsid w:val="009A74EB"/>
    <w:rsid w:val="00C41804"/>
    <w:rsid w:val="00C81172"/>
    <w:rsid w:val="00D43577"/>
    <w:rsid w:val="00E6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3C7CF"/>
  <w15:chartTrackingRefBased/>
  <w15:docId w15:val="{69DDE9F9-DD81-4FCE-AF59-D1BCBB0D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before="93"/>
        <w:ind w:left="1769"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811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332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Salazar</dc:creator>
  <cp:keywords/>
  <dc:description/>
  <cp:lastModifiedBy>Juan Salazar</cp:lastModifiedBy>
  <cp:revision>2</cp:revision>
  <dcterms:created xsi:type="dcterms:W3CDTF">2026-10-24T23:58:00Z</dcterms:created>
  <dcterms:modified xsi:type="dcterms:W3CDTF">2026-10-25T00:11:00Z</dcterms:modified>
</cp:coreProperties>
</file>