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8B75C" w14:textId="7293A0F9" w:rsidR="00314E0F" w:rsidRDefault="00B179C7" w:rsidP="00B179C7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179C7">
        <w:rPr>
          <w:rFonts w:ascii="Times New Roman" w:hAnsi="Times New Roman" w:cs="Times New Roman"/>
          <w:b/>
          <w:bCs/>
          <w:sz w:val="28"/>
          <w:szCs w:val="28"/>
        </w:rPr>
        <w:t>Casos de uso y contratos de la plataforma logística</w:t>
      </w:r>
    </w:p>
    <w:p w14:paraId="24935C95" w14:textId="445377CD" w:rsidR="00B179C7" w:rsidRDefault="00B179C7" w:rsidP="00B179C7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4EA60" w14:textId="77777777" w:rsidR="00B179C7" w:rsidRPr="00285411" w:rsidRDefault="00B179C7" w:rsidP="002854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Caso de uso: asignar un mensajero a una entrega</w:t>
      </w:r>
    </w:p>
    <w:p w14:paraId="7FE033B2" w14:textId="77777777" w:rsidR="00B179C7" w:rsidRPr="00B179C7" w:rsidRDefault="00B179C7" w:rsidP="00B179C7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C372A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El propósito es designar un mensajero disponible para una entrega que esté pendiente, asegurándose de que se cumplen las normas del negocio.</w:t>
      </w:r>
    </w:p>
    <w:p w14:paraId="564D17B4" w14:textId="77777777" w:rsidR="00B179C7" w:rsidRPr="00285411" w:rsidRDefault="00B179C7" w:rsidP="00B179C7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33F3D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Actor principal:</w:t>
      </w:r>
      <w:r w:rsidRPr="00285411">
        <w:rPr>
          <w:rFonts w:ascii="Times New Roman" w:hAnsi="Times New Roman" w:cs="Times New Roman"/>
          <w:sz w:val="24"/>
          <w:szCs w:val="24"/>
        </w:rPr>
        <w:t xml:space="preserve"> coordinador logístico.</w:t>
      </w:r>
    </w:p>
    <w:p w14:paraId="39EDE1C0" w14:textId="77777777" w:rsidR="00B179C7" w:rsidRPr="00B179C7" w:rsidRDefault="00B179C7" w:rsidP="00B179C7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A4D60" w14:textId="77777777" w:rsidR="00B179C7" w:rsidRPr="00285411" w:rsidRDefault="00B179C7" w:rsidP="00B179C7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Datos de entrada:</w:t>
      </w:r>
    </w:p>
    <w:p w14:paraId="1E7758C8" w14:textId="77777777" w:rsidR="00B179C7" w:rsidRPr="00B179C7" w:rsidRDefault="00B179C7" w:rsidP="00B179C7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5C2B3" w14:textId="77777777" w:rsidR="00B179C7" w:rsidRPr="00285411" w:rsidRDefault="00B179C7" w:rsidP="0028541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Identificación de la entrega.</w:t>
      </w:r>
    </w:p>
    <w:p w14:paraId="035B4943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01648F5" w14:textId="77777777" w:rsidR="00B179C7" w:rsidRPr="00285411" w:rsidRDefault="00B179C7" w:rsidP="0028541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Identificación del mensajero.</w:t>
      </w:r>
    </w:p>
    <w:p w14:paraId="51F9D2FE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78203B01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Resultado esperado:</w:t>
      </w:r>
      <w:r w:rsidRPr="00285411">
        <w:rPr>
          <w:rFonts w:ascii="Times New Roman" w:hAnsi="Times New Roman" w:cs="Times New Roman"/>
          <w:sz w:val="24"/>
          <w:szCs w:val="24"/>
        </w:rPr>
        <w:t xml:space="preserve"> la entrega queda asignada y se documenta el resultado de la operación.</w:t>
      </w:r>
    </w:p>
    <w:p w14:paraId="07848250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0187EEBD" w14:textId="37F1D625" w:rsidR="00B179C7" w:rsidRPr="00285411" w:rsidRDefault="00B179C7" w:rsidP="002854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Flujo de ejecución</w:t>
      </w:r>
    </w:p>
    <w:p w14:paraId="56DE7A90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3010BF1B" w14:textId="77777777" w:rsidR="00B179C7" w:rsidRPr="00285411" w:rsidRDefault="00B179C7" w:rsidP="002854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El sistema recibe la solicitud para realizar la asignación.</w:t>
      </w:r>
    </w:p>
    <w:p w14:paraId="0D80371E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0ACF383E" w14:textId="77777777" w:rsidR="00B179C7" w:rsidRPr="00285411" w:rsidRDefault="00B179C7" w:rsidP="002854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Consulta la entrega a través de IDeliveryRepository.</w:t>
      </w:r>
    </w:p>
    <w:p w14:paraId="4AAD5ACB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77810764" w14:textId="77777777" w:rsidR="00B179C7" w:rsidRPr="00285411" w:rsidRDefault="00B179C7" w:rsidP="002854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Verifica que la entrega exista y no cuente con otra asignación activa.</w:t>
      </w:r>
    </w:p>
    <w:p w14:paraId="2C058BE1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BD3F6A6" w14:textId="77777777" w:rsidR="00B179C7" w:rsidRPr="00285411" w:rsidRDefault="00B179C7" w:rsidP="002854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Consulta si el mensajero se encuentra disponible.</w:t>
      </w:r>
    </w:p>
    <w:p w14:paraId="3DAA3C2F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46D3B6E8" w14:textId="77777777" w:rsidR="00B179C7" w:rsidRPr="00285411" w:rsidRDefault="00B179C7" w:rsidP="002854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Solicita a Delivery.AssignCourier(courierId) proceder con la asignación.</w:t>
      </w:r>
    </w:p>
    <w:p w14:paraId="431CC855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423E4DDB" w14:textId="77777777" w:rsidR="00B179C7" w:rsidRPr="00285411" w:rsidRDefault="00B179C7" w:rsidP="002854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Registra los cambios.</w:t>
      </w:r>
    </w:p>
    <w:p w14:paraId="6B3D9064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33D93142" w14:textId="77777777" w:rsidR="00B179C7" w:rsidRPr="00285411" w:rsidRDefault="00B179C7" w:rsidP="002854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Comunica el resultado de la operación.</w:t>
      </w:r>
    </w:p>
    <w:p w14:paraId="2E437E3B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E4E5B52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Si alguna validación no se cumple, el sistema niega la solicitud e informa del motivo correspondiente.</w:t>
      </w:r>
    </w:p>
    <w:p w14:paraId="4F125A57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0E2097B2" w14:textId="04F384F1" w:rsidR="00B179C7" w:rsidRPr="00285411" w:rsidRDefault="00B179C7" w:rsidP="002854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Contrato de la operación</w:t>
      </w:r>
    </w:p>
    <w:p w14:paraId="13684436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20D761B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Operación</w:t>
      </w:r>
      <w:r w:rsidRPr="00285411">
        <w:rPr>
          <w:rFonts w:ascii="Times New Roman" w:hAnsi="Times New Roman" w:cs="Times New Roman"/>
          <w:sz w:val="24"/>
          <w:szCs w:val="24"/>
        </w:rPr>
        <w:t>: AssignCourierUseCase.</w:t>
      </w:r>
    </w:p>
    <w:p w14:paraId="79789CE8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3286BD7" w14:textId="07F8E4FA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Entrada</w:t>
      </w:r>
      <w:r w:rsidRPr="00285411">
        <w:rPr>
          <w:rFonts w:ascii="Times New Roman" w:hAnsi="Times New Roman" w:cs="Times New Roman"/>
          <w:sz w:val="24"/>
          <w:szCs w:val="24"/>
        </w:rPr>
        <w:t xml:space="preserve">: identificación de la entrega </w:t>
      </w:r>
      <w:r w:rsidR="00285411" w:rsidRPr="00285411">
        <w:rPr>
          <w:rFonts w:ascii="Times New Roman" w:hAnsi="Times New Roman" w:cs="Times New Roman"/>
          <w:sz w:val="24"/>
          <w:szCs w:val="24"/>
        </w:rPr>
        <w:t>e</w:t>
      </w:r>
      <w:r w:rsidRPr="00285411">
        <w:rPr>
          <w:rFonts w:ascii="Times New Roman" w:hAnsi="Times New Roman" w:cs="Times New Roman"/>
          <w:sz w:val="24"/>
          <w:szCs w:val="24"/>
        </w:rPr>
        <w:t xml:space="preserve"> identificación del mensajero.</w:t>
      </w:r>
    </w:p>
    <w:p w14:paraId="60BDDECF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F19A4E1" w14:textId="77777777" w:rsidR="00B179C7" w:rsidRPr="00285411" w:rsidRDefault="00B179C7" w:rsidP="00B179C7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Precondiciones:</w:t>
      </w:r>
    </w:p>
    <w:p w14:paraId="45D74B57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F722F54" w14:textId="77777777" w:rsidR="00B179C7" w:rsidRPr="00285411" w:rsidRDefault="00B179C7" w:rsidP="0028541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La entrega debe existir.</w:t>
      </w:r>
    </w:p>
    <w:p w14:paraId="0A8EAAD8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1E3CE7BA" w14:textId="77777777" w:rsidR="00B179C7" w:rsidRPr="00285411" w:rsidRDefault="00B179C7" w:rsidP="0028541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No debe tener una asignación activa.</w:t>
      </w:r>
    </w:p>
    <w:p w14:paraId="21929A72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103BD305" w14:textId="77777777" w:rsidR="00B179C7" w:rsidRPr="00285411" w:rsidRDefault="00B179C7" w:rsidP="0028541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El mensajero debe estar libre.</w:t>
      </w:r>
    </w:p>
    <w:p w14:paraId="621B24DB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4661CEAF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Resultado exitoso</w:t>
      </w:r>
      <w:r w:rsidRPr="00285411">
        <w:rPr>
          <w:rFonts w:ascii="Times New Roman" w:hAnsi="Times New Roman" w:cs="Times New Roman"/>
          <w:sz w:val="24"/>
          <w:szCs w:val="24"/>
        </w:rPr>
        <w:t>: la asignación se guarda de manera correcta.</w:t>
      </w:r>
    </w:p>
    <w:p w14:paraId="3142E358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E1883A7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Posibles errores: entrega inexistente, entrega ya asignada, mensajero no disponible o error al guardar los cambios.</w:t>
      </w:r>
    </w:p>
    <w:p w14:paraId="3D7F91F5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20F3A3F" w14:textId="0F24B5A3" w:rsidR="00B179C7" w:rsidRPr="00285411" w:rsidRDefault="00B179C7" w:rsidP="002854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Separación de responsabilidades</w:t>
      </w:r>
    </w:p>
    <w:p w14:paraId="7D3A5F58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4368B8B7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El caso de uso coordina el proceso, mientras que la entidad Delivery resguarda las reglas del negocio. El repositorio es responsable de consultar y almacenar la información, y los componentes externos pueden verificar la disponibilidad o comunicar el resultado.</w:t>
      </w:r>
    </w:p>
    <w:p w14:paraId="2383272A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79823232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  <w:r w:rsidRPr="00285411">
        <w:rPr>
          <w:rFonts w:ascii="Times New Roman" w:hAnsi="Times New Roman" w:cs="Times New Roman"/>
          <w:sz w:val="24"/>
          <w:szCs w:val="24"/>
        </w:rPr>
        <w:t>Esta separación permite modificar la infraestructura sin alterar las reglas fundamentales del negocio.</w:t>
      </w:r>
    </w:p>
    <w:p w14:paraId="12CCB45C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22FDB34" w14:textId="68171A7B" w:rsidR="00B179C7" w:rsidRPr="00285411" w:rsidRDefault="00B179C7" w:rsidP="002854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5411">
        <w:rPr>
          <w:rFonts w:ascii="Times New Roman" w:hAnsi="Times New Roman" w:cs="Times New Roman"/>
          <w:b/>
          <w:bCs/>
          <w:sz w:val="24"/>
          <w:szCs w:val="24"/>
        </w:rPr>
        <w:t>Conclusión</w:t>
      </w:r>
    </w:p>
    <w:p w14:paraId="10F9330F" w14:textId="77777777" w:rsidR="00B179C7" w:rsidRPr="00285411" w:rsidRDefault="00B179C7" w:rsidP="00B179C7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127CBBD" w14:textId="43287FC5" w:rsidR="00B179C7" w:rsidRPr="00B179C7" w:rsidRDefault="00B179C7" w:rsidP="00B179C7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85411">
        <w:rPr>
          <w:rFonts w:ascii="Times New Roman" w:hAnsi="Times New Roman" w:cs="Times New Roman"/>
          <w:sz w:val="24"/>
          <w:szCs w:val="24"/>
        </w:rPr>
        <w:t>Establecer los casos de uso y sus contratos permite definir cómo debe llevarse a cabo la asignación de entregas, qué información se requiere y cómo reacciona ante los errores. Esto facilita una implementación ordenada y coherente con el dominio de la plataforma logística.</w:t>
      </w:r>
    </w:p>
    <w:sectPr w:rsidR="00B179C7" w:rsidRPr="00B179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0124"/>
    <w:multiLevelType w:val="hybridMultilevel"/>
    <w:tmpl w:val="CB3080C2"/>
    <w:lvl w:ilvl="0" w:tplc="240A000F">
      <w:start w:val="1"/>
      <w:numFmt w:val="decimal"/>
      <w:lvlText w:val="%1."/>
      <w:lvlJc w:val="left"/>
      <w:pPr>
        <w:ind w:left="1077" w:hanging="360"/>
      </w:pPr>
    </w:lvl>
    <w:lvl w:ilvl="1" w:tplc="240A0019" w:tentative="1">
      <w:start w:val="1"/>
      <w:numFmt w:val="lowerLetter"/>
      <w:lvlText w:val="%2."/>
      <w:lvlJc w:val="left"/>
      <w:pPr>
        <w:ind w:left="1797" w:hanging="360"/>
      </w:pPr>
    </w:lvl>
    <w:lvl w:ilvl="2" w:tplc="240A001B" w:tentative="1">
      <w:start w:val="1"/>
      <w:numFmt w:val="lowerRoman"/>
      <w:lvlText w:val="%3."/>
      <w:lvlJc w:val="right"/>
      <w:pPr>
        <w:ind w:left="2517" w:hanging="180"/>
      </w:pPr>
    </w:lvl>
    <w:lvl w:ilvl="3" w:tplc="240A000F" w:tentative="1">
      <w:start w:val="1"/>
      <w:numFmt w:val="decimal"/>
      <w:lvlText w:val="%4."/>
      <w:lvlJc w:val="left"/>
      <w:pPr>
        <w:ind w:left="3237" w:hanging="360"/>
      </w:pPr>
    </w:lvl>
    <w:lvl w:ilvl="4" w:tplc="240A0019" w:tentative="1">
      <w:start w:val="1"/>
      <w:numFmt w:val="lowerLetter"/>
      <w:lvlText w:val="%5."/>
      <w:lvlJc w:val="left"/>
      <w:pPr>
        <w:ind w:left="3957" w:hanging="360"/>
      </w:pPr>
    </w:lvl>
    <w:lvl w:ilvl="5" w:tplc="240A001B" w:tentative="1">
      <w:start w:val="1"/>
      <w:numFmt w:val="lowerRoman"/>
      <w:lvlText w:val="%6."/>
      <w:lvlJc w:val="right"/>
      <w:pPr>
        <w:ind w:left="4677" w:hanging="180"/>
      </w:pPr>
    </w:lvl>
    <w:lvl w:ilvl="6" w:tplc="240A000F" w:tentative="1">
      <w:start w:val="1"/>
      <w:numFmt w:val="decimal"/>
      <w:lvlText w:val="%7."/>
      <w:lvlJc w:val="left"/>
      <w:pPr>
        <w:ind w:left="5397" w:hanging="360"/>
      </w:pPr>
    </w:lvl>
    <w:lvl w:ilvl="7" w:tplc="240A0019" w:tentative="1">
      <w:start w:val="1"/>
      <w:numFmt w:val="lowerLetter"/>
      <w:lvlText w:val="%8."/>
      <w:lvlJc w:val="left"/>
      <w:pPr>
        <w:ind w:left="6117" w:hanging="360"/>
      </w:pPr>
    </w:lvl>
    <w:lvl w:ilvl="8" w:tplc="2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1D5C0BEF"/>
    <w:multiLevelType w:val="hybridMultilevel"/>
    <w:tmpl w:val="93D860A8"/>
    <w:lvl w:ilvl="0" w:tplc="240A000F">
      <w:start w:val="1"/>
      <w:numFmt w:val="decimal"/>
      <w:lvlText w:val="%1."/>
      <w:lvlJc w:val="left"/>
      <w:pPr>
        <w:ind w:left="1077" w:hanging="360"/>
      </w:pPr>
    </w:lvl>
    <w:lvl w:ilvl="1" w:tplc="240A0019" w:tentative="1">
      <w:start w:val="1"/>
      <w:numFmt w:val="lowerLetter"/>
      <w:lvlText w:val="%2."/>
      <w:lvlJc w:val="left"/>
      <w:pPr>
        <w:ind w:left="1797" w:hanging="360"/>
      </w:pPr>
    </w:lvl>
    <w:lvl w:ilvl="2" w:tplc="240A001B" w:tentative="1">
      <w:start w:val="1"/>
      <w:numFmt w:val="lowerRoman"/>
      <w:lvlText w:val="%3."/>
      <w:lvlJc w:val="right"/>
      <w:pPr>
        <w:ind w:left="2517" w:hanging="180"/>
      </w:pPr>
    </w:lvl>
    <w:lvl w:ilvl="3" w:tplc="240A000F" w:tentative="1">
      <w:start w:val="1"/>
      <w:numFmt w:val="decimal"/>
      <w:lvlText w:val="%4."/>
      <w:lvlJc w:val="left"/>
      <w:pPr>
        <w:ind w:left="3237" w:hanging="360"/>
      </w:pPr>
    </w:lvl>
    <w:lvl w:ilvl="4" w:tplc="240A0019" w:tentative="1">
      <w:start w:val="1"/>
      <w:numFmt w:val="lowerLetter"/>
      <w:lvlText w:val="%5."/>
      <w:lvlJc w:val="left"/>
      <w:pPr>
        <w:ind w:left="3957" w:hanging="360"/>
      </w:pPr>
    </w:lvl>
    <w:lvl w:ilvl="5" w:tplc="240A001B" w:tentative="1">
      <w:start w:val="1"/>
      <w:numFmt w:val="lowerRoman"/>
      <w:lvlText w:val="%6."/>
      <w:lvlJc w:val="right"/>
      <w:pPr>
        <w:ind w:left="4677" w:hanging="180"/>
      </w:pPr>
    </w:lvl>
    <w:lvl w:ilvl="6" w:tplc="240A000F" w:tentative="1">
      <w:start w:val="1"/>
      <w:numFmt w:val="decimal"/>
      <w:lvlText w:val="%7."/>
      <w:lvlJc w:val="left"/>
      <w:pPr>
        <w:ind w:left="5397" w:hanging="360"/>
      </w:pPr>
    </w:lvl>
    <w:lvl w:ilvl="7" w:tplc="240A0019" w:tentative="1">
      <w:start w:val="1"/>
      <w:numFmt w:val="lowerLetter"/>
      <w:lvlText w:val="%8."/>
      <w:lvlJc w:val="left"/>
      <w:pPr>
        <w:ind w:left="6117" w:hanging="360"/>
      </w:pPr>
    </w:lvl>
    <w:lvl w:ilvl="8" w:tplc="2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3A47713D"/>
    <w:multiLevelType w:val="hybridMultilevel"/>
    <w:tmpl w:val="1A5CBBE4"/>
    <w:lvl w:ilvl="0" w:tplc="240A000F">
      <w:start w:val="1"/>
      <w:numFmt w:val="decimal"/>
      <w:lvlText w:val="%1."/>
      <w:lvlJc w:val="left"/>
      <w:pPr>
        <w:ind w:left="1077" w:hanging="360"/>
      </w:pPr>
    </w:lvl>
    <w:lvl w:ilvl="1" w:tplc="240A0019" w:tentative="1">
      <w:start w:val="1"/>
      <w:numFmt w:val="lowerLetter"/>
      <w:lvlText w:val="%2."/>
      <w:lvlJc w:val="left"/>
      <w:pPr>
        <w:ind w:left="1797" w:hanging="360"/>
      </w:pPr>
    </w:lvl>
    <w:lvl w:ilvl="2" w:tplc="240A001B" w:tentative="1">
      <w:start w:val="1"/>
      <w:numFmt w:val="lowerRoman"/>
      <w:lvlText w:val="%3."/>
      <w:lvlJc w:val="right"/>
      <w:pPr>
        <w:ind w:left="2517" w:hanging="180"/>
      </w:pPr>
    </w:lvl>
    <w:lvl w:ilvl="3" w:tplc="240A000F" w:tentative="1">
      <w:start w:val="1"/>
      <w:numFmt w:val="decimal"/>
      <w:lvlText w:val="%4."/>
      <w:lvlJc w:val="left"/>
      <w:pPr>
        <w:ind w:left="3237" w:hanging="360"/>
      </w:pPr>
    </w:lvl>
    <w:lvl w:ilvl="4" w:tplc="240A0019" w:tentative="1">
      <w:start w:val="1"/>
      <w:numFmt w:val="lowerLetter"/>
      <w:lvlText w:val="%5."/>
      <w:lvlJc w:val="left"/>
      <w:pPr>
        <w:ind w:left="3957" w:hanging="360"/>
      </w:pPr>
    </w:lvl>
    <w:lvl w:ilvl="5" w:tplc="240A001B" w:tentative="1">
      <w:start w:val="1"/>
      <w:numFmt w:val="lowerRoman"/>
      <w:lvlText w:val="%6."/>
      <w:lvlJc w:val="right"/>
      <w:pPr>
        <w:ind w:left="4677" w:hanging="180"/>
      </w:pPr>
    </w:lvl>
    <w:lvl w:ilvl="6" w:tplc="240A000F" w:tentative="1">
      <w:start w:val="1"/>
      <w:numFmt w:val="decimal"/>
      <w:lvlText w:val="%7."/>
      <w:lvlJc w:val="left"/>
      <w:pPr>
        <w:ind w:left="5397" w:hanging="360"/>
      </w:pPr>
    </w:lvl>
    <w:lvl w:ilvl="7" w:tplc="240A0019" w:tentative="1">
      <w:start w:val="1"/>
      <w:numFmt w:val="lowerLetter"/>
      <w:lvlText w:val="%8."/>
      <w:lvlJc w:val="left"/>
      <w:pPr>
        <w:ind w:left="6117" w:hanging="360"/>
      </w:pPr>
    </w:lvl>
    <w:lvl w:ilvl="8" w:tplc="2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6CB94274"/>
    <w:multiLevelType w:val="hybridMultilevel"/>
    <w:tmpl w:val="57AE371C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7A3212E6"/>
    <w:multiLevelType w:val="hybridMultilevel"/>
    <w:tmpl w:val="5916248C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FA"/>
    <w:rsid w:val="000E26FA"/>
    <w:rsid w:val="001622A2"/>
    <w:rsid w:val="00285411"/>
    <w:rsid w:val="00314E0F"/>
    <w:rsid w:val="0032226A"/>
    <w:rsid w:val="009A74EB"/>
    <w:rsid w:val="00B179C7"/>
    <w:rsid w:val="00D4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C2712"/>
  <w15:chartTrackingRefBased/>
  <w15:docId w15:val="{6F658714-1103-4F12-A29D-01A024B59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before="93"/>
        <w:ind w:left="1769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5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2026-10-24T23:25:00Z</dcterms:created>
  <dcterms:modified xsi:type="dcterms:W3CDTF">2026-10-24T23:46:00Z</dcterms:modified>
</cp:coreProperties>
</file>