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7D12" w14:textId="45F0F0DD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477941C4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631434AF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FAEC3E" w14:textId="3FFE8BAC" w:rsidR="0034282D" w:rsidRDefault="005F5CB9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>ACTIONABLE</w:t>
      </w:r>
      <w:r w:rsidR="00DC09F1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721047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721047" w:rsidRPr="004A04A1">
        <w:rPr>
          <w:rFonts w:ascii="Courier New" w:hAnsi="Courier New" w:cs="Courier New"/>
          <w:color w:val="FF0000"/>
        </w:rPr>
        <w:fldChar w:fldCharType="begin"/>
      </w:r>
      <w:r w:rsidR="00721047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721047" w:rsidRPr="004A04A1">
        <w:rPr>
          <w:rFonts w:ascii="Courier New" w:hAnsi="Courier New" w:cs="Courier New"/>
          <w:color w:val="FF0000"/>
        </w:rPr>
        <w:fldChar w:fldCharType="separate"/>
      </w:r>
      <w:r w:rsidR="00721047">
        <w:rPr>
          <w:rFonts w:ascii="Courier New" w:hAnsi="Courier New" w:cs="Courier New"/>
          <w:noProof/>
          <w:color w:val="FF0000"/>
        </w:rPr>
        <w:t>«isdraft»</w:t>
      </w:r>
      <w:r w:rsidR="00721047" w:rsidRPr="004A04A1">
        <w:rPr>
          <w:rFonts w:ascii="Courier New" w:hAnsi="Courier New" w:cs="Courier New"/>
          <w:color w:val="FF0000"/>
        </w:rPr>
        <w:fldChar w:fldCharType="end"/>
      </w:r>
      <w:bookmarkStart w:id="0" w:name="_GoBack"/>
      <w:bookmarkEnd w:id="0"/>
    </w:p>
    <w:p w14:paraId="754E2AD9" w14:textId="77777777" w:rsidR="00DC09F1" w:rsidRPr="00881C76" w:rsidRDefault="00DC09F1" w:rsidP="00DC09F1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  <w:r>
        <w:rPr>
          <w:rFonts w:ascii="Arial" w:eastAsia="Times New Roman" w:hAnsi="Arial"/>
          <w:b/>
          <w:sz w:val="22"/>
          <w:szCs w:val="20"/>
          <w:lang w:val="en-AU"/>
        </w:rPr>
        <w:t>Clinical Details</w:t>
      </w:r>
    </w:p>
    <w:p w14:paraId="237FE60C" w14:textId="77777777" w:rsidR="00A6052B" w:rsidRPr="00A6052B" w:rsidRDefault="00A6052B" w:rsidP="00A6052B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Histological typing: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...........................</w:t>
      </w:r>
    </w:p>
    <w:p w14:paraId="7CA920DD" w14:textId="77777777" w:rsidR="00A6052B" w:rsidRPr="00A6052B" w:rsidRDefault="00A6052B" w:rsidP="00A6052B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A6052B">
        <w:rPr>
          <w:rFonts w:ascii="Arial" w:eastAsia="Times New Roman" w:hAnsi="Arial"/>
          <w:sz w:val="18"/>
          <w:szCs w:val="18"/>
          <w:lang w:val="en-AU"/>
        </w:rPr>
        <w:t xml:space="preserve">The sample was reviewed by a pathologist and was considered to have </w:t>
      </w:r>
      <w:r w:rsidRPr="00A6052B">
        <w:rPr>
          <w:rFonts w:ascii="Arial" w:eastAsia="Times New Roman" w:hAnsi="Arial"/>
          <w:sz w:val="18"/>
          <w:szCs w:val="18"/>
          <w:highlight w:val="yellow"/>
          <w:lang w:val="en-AU"/>
        </w:rPr>
        <w:t>....</w:t>
      </w:r>
      <w:r w:rsidRPr="00A6052B">
        <w:rPr>
          <w:rFonts w:ascii="Arial" w:eastAsia="Times New Roman" w:hAnsi="Arial"/>
          <w:sz w:val="18"/>
          <w:szCs w:val="18"/>
          <w:lang w:val="en-AU"/>
        </w:rPr>
        <w:t>% tumour cells within the area selected for analysis. Please note: This is not a formal pathology review and is based solely on an H&amp;E of the tissue provided and not on ancillary clinical or pathology information that may be available elsewhere.</w:t>
      </w:r>
    </w:p>
    <w:p w14:paraId="15FCB5A2" w14:textId="77777777" w:rsidR="0034282D" w:rsidRPr="00607735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tbl>
      <w:tblPr>
        <w:tblW w:w="106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985"/>
        <w:gridCol w:w="1984"/>
        <w:gridCol w:w="1701"/>
        <w:gridCol w:w="2428"/>
      </w:tblGrid>
      <w:tr w:rsidR="0059224B" w:rsidRPr="0059224B" w14:paraId="2A91223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AD0D7F4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F965C9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72C2A80F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Nucleotide Change</w:t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noWrap/>
            <w:vAlign w:val="center"/>
          </w:tcPr>
          <w:p w14:paraId="30B631B3" w14:textId="228659DD" w:rsidR="00A1035D" w:rsidRPr="0059224B" w:rsidRDefault="00902BFF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</w:rPr>
              <w:t xml:space="preserve">Inferred </w:t>
            </w:r>
            <w:r w:rsidR="00A1035D"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Protein Change</w:t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89D6962" w14:textId="77777777" w:rsidR="00A1035D" w:rsidRPr="0059224B" w:rsidRDefault="00F029B8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Read Depth</w:t>
            </w:r>
            <w:r w:rsidR="00E247C1" w:rsidRPr="0059224B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</w:rPr>
              <w:t>¶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9E0A7C6" w14:textId="77777777" w:rsidR="00A1035D" w:rsidRPr="0059224B" w:rsidRDefault="00A1035D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/>
                <w:b/>
                <w:bCs/>
                <w:sz w:val="20"/>
                <w:szCs w:val="20"/>
              </w:rPr>
            </w:pPr>
            <w:r w:rsidRPr="0059224B">
              <w:rPr>
                <w:rFonts w:ascii="Arial" w:eastAsia="Times New Roman" w:hAnsi="Arial"/>
                <w:b/>
                <w:bCs/>
                <w:sz w:val="20"/>
                <w:szCs w:val="20"/>
              </w:rPr>
              <w:t>Classification</w:t>
            </w:r>
          </w:p>
        </w:tc>
      </w:tr>
      <w:tr w:rsidR="0059224B" w:rsidRPr="00F42F75" w14:paraId="3384ED7C" w14:textId="77777777" w:rsidTr="00396279">
        <w:trPr>
          <w:trHeight w:val="300"/>
        </w:trPr>
        <w:tc>
          <w:tcPr>
            <w:tcW w:w="124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CDB2054" w14:textId="77777777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TableStart:Variants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«TableStart:Variants»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instrText xml:space="preserve"> MERGEFIELD  gene  \* MERGEFORMAT </w:instrTex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b/>
                <w:bCs/>
                <w:noProof/>
                <w:color w:val="000000"/>
                <w:sz w:val="18"/>
                <w:szCs w:val="18"/>
                <w:lang w:val="ru-RU"/>
              </w:rPr>
              <w:t>«gene»</w:t>
            </w:r>
            <w:r w:rsidRPr="00F42F7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1D7409C3" w14:textId="77777777" w:rsidR="00271DB4" w:rsidRPr="00F42F75" w:rsidRDefault="005F0C42" w:rsidP="005F0C42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refseq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«refseq»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</w:tcPr>
          <w:p w14:paraId="07A7501D" w14:textId="77777777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hgvsc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«hgvsc»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vAlign w:val="center"/>
            <w:hideMark/>
          </w:tcPr>
          <w:p w14:paraId="38B92CF2" w14:textId="6A44F9B5" w:rsidR="00271DB4" w:rsidRPr="00F42F75" w:rsidRDefault="009369EC" w:rsidP="00D4784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hgvsp  \* MERGEFORMAT </w:instrTex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«hgvsp»</w:t>
            </w:r>
            <w:r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2FE1389" w14:textId="6FE79685" w:rsidR="00271DB4" w:rsidRPr="00F42F75" w:rsidRDefault="00A4595B" w:rsidP="00902BFF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varreaddepth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«varreaddepth»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271DB4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totalreaddepth \* MERGEFORMAT </w:instrTex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 xml:space="preserve">«totalreaddepth </w:t>
            </w:r>
            <w:r w:rsidR="009369EC"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»</w:t>
            </w:r>
            <w:r w:rsidR="009369EC"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MERGEFIELD  </w:instrText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>afpct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 \* MERGEFORMAT </w:instrTex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902BFF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«afpct»</w:t>
            </w:r>
            <w:r w:rsidR="00902BFF" w:rsidRPr="00F42F7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902BF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  <w:r w:rsidR="00902BF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58403D85" w14:textId="04CCB2B8" w:rsidR="00271DB4" w:rsidRPr="00F42F75" w:rsidRDefault="009369EC" w:rsidP="0059224B">
            <w:pPr>
              <w:tabs>
                <w:tab w:val="left" w:pos="357"/>
                <w:tab w:val="left" w:pos="8647"/>
              </w:tabs>
              <w:rPr>
                <w:rFonts w:ascii="Arial" w:eastAsia="Times New Roman" w:hAnsi="Arial" w:cs="Arial"/>
                <w:sz w:val="18"/>
                <w:szCs w:val="18"/>
              </w:rPr>
            </w:pP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="0065592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class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="00B63FAD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</w:t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class»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F42F75">
              <w:rPr>
                <w:rFonts w:ascii="Arial" w:eastAsia="Times New Roman" w:hAnsi="Arial"/>
                <w:noProof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begin"/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instrText xml:space="preserve"> MERGEFIELD  TableEnd:Variants  \* MERGEFORMAT </w:instrText>
            </w:r>
            <w:r w:rsidRPr="00F42F7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fldChar w:fldCharType="separate"/>
            </w:r>
            <w:r w:rsidRPr="00F42F75">
              <w:rPr>
                <w:rFonts w:ascii="Arial" w:eastAsia="Times New Roman" w:hAnsi="Arial" w:cs="Arial"/>
                <w:noProof/>
                <w:sz w:val="18"/>
                <w:szCs w:val="18"/>
                <w:lang w:val="ru-RU"/>
              </w:rPr>
              <w:t>«TableEnd:Variants»</w:t>
            </w:r>
            <w:r w:rsidRPr="00F42F75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</w:tr>
    </w:tbl>
    <w:p w14:paraId="0D97838B" w14:textId="77777777" w:rsidR="00E247C1" w:rsidRPr="00E247C1" w:rsidRDefault="00E247C1" w:rsidP="00D40B6B">
      <w:pPr>
        <w:rPr>
          <w:rFonts w:ascii="Arial" w:hAnsi="Arial" w:cs="Arial"/>
          <w:sz w:val="16"/>
          <w:szCs w:val="16"/>
        </w:rPr>
      </w:pPr>
      <w:r w:rsidRPr="00E247C1">
        <w:rPr>
          <w:rFonts w:ascii="Arial" w:hAnsi="Arial" w:cs="Arial"/>
          <w:sz w:val="16"/>
          <w:szCs w:val="16"/>
          <w:vertAlign w:val="superscript"/>
        </w:rPr>
        <w:t>¶</w:t>
      </w:r>
      <w:r w:rsidRPr="00E247C1">
        <w:rPr>
          <w:rFonts w:ascii="Arial" w:hAnsi="Arial" w:cs="Arial"/>
          <w:sz w:val="16"/>
          <w:szCs w:val="16"/>
        </w:rPr>
        <w:t xml:space="preserve"> variant reads / total reads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625C89E" w14:textId="6C608652" w:rsidR="003E1E5F" w:rsidRPr="000D3328" w:rsidRDefault="003E1E5F" w:rsidP="000D3328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«TableStart:</w: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t>Variants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t>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begin"/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instrText xml:space="preserve"> MERGEFIELD  gene  \* MERGEFORMAT </w:instrTex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fldChar w:fldCharType="separate"/>
      </w:r>
      <w:r w:rsidR="00BE2704"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lang w:val="ru-RU"/>
        </w:rPr>
        <w:t>«gene»</w:t>
      </w:r>
      <w:r w:rsidR="00BE2704" w:rsidRPr="00F42F75">
        <w:rPr>
          <w:rFonts w:ascii="Arial" w:eastAsia="Times New Roman" w:hAnsi="Arial" w:cs="Arial"/>
          <w:b/>
          <w:bCs/>
          <w:color w:val="000000"/>
          <w:sz w:val="18"/>
          <w:szCs w:val="18"/>
        </w:rPr>
        <w:fldChar w:fldCharType="end"/>
      </w:r>
      <w:r w:rsidR="00BE270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: 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mut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«mut»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 w:rsidR="0065592D"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 w:rsidR="0065592D"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</w:t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469AEC98" w14:textId="1ACF54B1" w:rsidR="003F6432" w:rsidRDefault="003F6432" w:rsidP="003F6432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Methods</w:t>
      </w:r>
    </w:p>
    <w:p w14:paraId="1DB625D0" w14:textId="4DE06E67" w:rsidR="00DC09F1" w:rsidRPr="001A3347" w:rsidRDefault="005F5CB9" w:rsidP="005F5CB9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Tumour DNA was tested in duplicate for mutations in 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targeted exons of the following genes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using massively parallel sequencing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: AKT1,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ALK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BRAF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CDKN2A,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EGFR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FGFR1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FGFR2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FGFR3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ERBB2,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KIT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KRAS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NRAS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PDGFRA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PIK3CA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,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PTEN</w:t>
      </w:r>
      <w:r>
        <w:rPr>
          <w:rFonts w:ascii="Arial" w:hAnsi="Arial" w:cs="Arial"/>
          <w:noProof/>
          <w:sz w:val="18"/>
          <w:szCs w:val="18"/>
          <w:lang w:val="ru-RU"/>
        </w:rPr>
        <w:t xml:space="preserve"> and 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TP53. This test detects single nucleotide variants and indels in the target exons only. At 1000x coverage, the limit of detection of this assay has been determined to be </w:t>
      </w:r>
      <w:r w:rsidRPr="005F5CB9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%. At 500x coverage the limit of detection has been determined to be </w:t>
      </w:r>
      <w:r w:rsidRPr="004E1494">
        <w:rPr>
          <w:rFonts w:ascii="Arial" w:hAnsi="Arial" w:cs="Arial"/>
          <w:noProof/>
          <w:sz w:val="18"/>
          <w:szCs w:val="18"/>
          <w:highlight w:val="yellow"/>
          <w:lang w:val="ru-RU"/>
        </w:rPr>
        <w:t>X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>%. The sample was sequ</w:t>
      </w:r>
      <w:r w:rsidR="00B37436">
        <w:rPr>
          <w:rFonts w:ascii="Arial" w:hAnsi="Arial" w:cs="Arial"/>
          <w:noProof/>
          <w:sz w:val="18"/>
          <w:szCs w:val="18"/>
          <w:lang w:val="ru-RU"/>
        </w:rPr>
        <w:t xml:space="preserve">enced to an average </w:t>
      </w:r>
      <w:r w:rsidR="00B37436" w:rsidRPr="0078618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B37436">
        <w:rPr>
          <w:rFonts w:ascii="Arial" w:hAnsi="Arial" w:cs="Arial"/>
          <w:noProof/>
          <w:sz w:val="18"/>
          <w:szCs w:val="18"/>
          <w:lang w:val="ru-RU"/>
        </w:rPr>
        <w:instrText xml:space="preserve"> MERGEFIELD ampReads</w:instrText>
      </w:r>
      <w:r w:rsidR="00B37436" w:rsidRPr="00786186">
        <w:rPr>
          <w:rFonts w:ascii="Arial" w:hAnsi="Arial" w:cs="Arial"/>
          <w:noProof/>
          <w:sz w:val="18"/>
          <w:szCs w:val="18"/>
          <w:lang w:val="ru-RU"/>
        </w:rPr>
        <w:instrText xml:space="preserve">  \* MERGEFORMAT </w:instrText>
      </w:r>
      <w:r w:rsidR="00B37436" w:rsidRPr="0078618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B37436">
        <w:rPr>
          <w:rFonts w:ascii="Arial" w:hAnsi="Arial" w:cs="Arial"/>
          <w:noProof/>
          <w:sz w:val="18"/>
          <w:szCs w:val="18"/>
          <w:lang w:val="ru-RU"/>
        </w:rPr>
        <w:t>«ampReads»</w:t>
      </w:r>
      <w:r w:rsidR="00B37436" w:rsidRPr="00786186">
        <w:rPr>
          <w:rFonts w:ascii="Arial" w:hAnsi="Arial" w:cs="Arial"/>
          <w:noProof/>
          <w:sz w:val="18"/>
          <w:szCs w:val="18"/>
        </w:rPr>
        <w:fldChar w:fldCharType="end"/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aligned re</w:t>
      </w:r>
      <w:r w:rsidR="00B37436">
        <w:rPr>
          <w:rFonts w:ascii="Arial" w:hAnsi="Arial" w:cs="Arial"/>
          <w:noProof/>
          <w:sz w:val="18"/>
          <w:szCs w:val="18"/>
          <w:lang w:val="ru-RU"/>
        </w:rPr>
        <w:t xml:space="preserve">ads per amplicon with </w:t>
      </w:r>
      <w:r w:rsidR="00B37436" w:rsidRPr="00B37436">
        <w:rPr>
          <w:rFonts w:ascii="Arial" w:hAnsi="Arial" w:cs="Arial"/>
          <w:noProof/>
          <w:sz w:val="18"/>
          <w:szCs w:val="18"/>
          <w:lang w:val="ru-RU"/>
        </w:rPr>
        <w:fldChar w:fldCharType="begin"/>
      </w:r>
      <w:r w:rsidR="00B37436" w:rsidRPr="00B37436">
        <w:rPr>
          <w:rFonts w:ascii="Arial" w:hAnsi="Arial" w:cs="Arial"/>
          <w:noProof/>
          <w:sz w:val="18"/>
          <w:szCs w:val="18"/>
          <w:lang w:val="ru-RU"/>
        </w:rPr>
        <w:instrText xml:space="preserve"> MERGEFIELD  ampPct  \* MERGEFORMAT </w:instrText>
      </w:r>
      <w:r w:rsidR="00B37436" w:rsidRPr="00B37436">
        <w:rPr>
          <w:rFonts w:ascii="Arial" w:hAnsi="Arial" w:cs="Arial"/>
          <w:noProof/>
          <w:sz w:val="18"/>
          <w:szCs w:val="18"/>
          <w:lang w:val="ru-RU"/>
        </w:rPr>
        <w:fldChar w:fldCharType="separate"/>
      </w:r>
      <w:r w:rsidR="00B37436">
        <w:rPr>
          <w:rFonts w:ascii="Arial" w:hAnsi="Arial" w:cs="Arial"/>
          <w:noProof/>
          <w:sz w:val="18"/>
          <w:szCs w:val="18"/>
          <w:lang w:val="ru-RU"/>
        </w:rPr>
        <w:t>«ampPct»</w:t>
      </w:r>
      <w:r w:rsidR="00B37436" w:rsidRPr="00B37436">
        <w:rPr>
          <w:rFonts w:ascii="Arial" w:hAnsi="Arial" w:cs="Arial"/>
          <w:noProof/>
          <w:sz w:val="18"/>
          <w:szCs w:val="18"/>
          <w:lang w:val="ru-RU"/>
        </w:rPr>
        <w:fldChar w:fldCharType="end"/>
      </w:r>
      <w:r w:rsidR="00B63BD0">
        <w:rPr>
          <w:rFonts w:ascii="Arial" w:hAnsi="Arial" w:cs="Arial"/>
          <w:noProof/>
          <w:sz w:val="18"/>
          <w:szCs w:val="18"/>
          <w:lang w:val="ru-RU"/>
        </w:rPr>
        <w:t xml:space="preserve"> %</w:t>
      </w:r>
      <w:r w:rsidRPr="005F5CB9">
        <w:rPr>
          <w:rFonts w:ascii="Arial" w:hAnsi="Arial" w:cs="Arial"/>
          <w:noProof/>
          <w:sz w:val="18"/>
          <w:szCs w:val="18"/>
          <w:lang w:val="ru-RU"/>
        </w:rPr>
        <w:t xml:space="preserve"> uniformity. Regions with less than 100x coverage have not been analysed. These are listed below.</w:t>
      </w:r>
    </w:p>
    <w:p w14:paraId="698E31B6" w14:textId="77777777" w:rsidR="00DC09F1" w:rsidRPr="00284552" w:rsidRDefault="00DC09F1" w:rsidP="00DC09F1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284552">
        <w:rPr>
          <w:rFonts w:ascii="Arial" w:eastAsia="Times New Roman" w:hAnsi="Arial"/>
          <w:b/>
          <w:sz w:val="22"/>
          <w:szCs w:val="22"/>
          <w:lang w:val="en-AU"/>
        </w:rPr>
        <w:t>Comments</w:t>
      </w:r>
    </w:p>
    <w:p w14:paraId="59AD6672" w14:textId="6C400D70" w:rsidR="00A6052B" w:rsidRPr="00A6052B" w:rsidRDefault="00DC09F1" w:rsidP="00DC09F1">
      <w:pPr>
        <w:tabs>
          <w:tab w:val="left" w:pos="8647"/>
          <w:tab w:val="left" w:pos="9540"/>
        </w:tabs>
        <w:spacing w:before="120"/>
        <w:jc w:val="both"/>
        <w:rPr>
          <w:rFonts w:ascii="Arial" w:eastAsia="Times New Roman" w:hAnsi="Arial" w:cs="Arial"/>
          <w:sz w:val="18"/>
          <w:szCs w:val="18"/>
        </w:rPr>
      </w:pP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TableStart: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Variants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«TableStart:Variants»</w:t>
      </w:r>
      <w:r w:rsidRPr="003E1E5F">
        <w:rPr>
          <w:rFonts w:ascii="Arial" w:eastAsia="Times New Roman" w:hAnsi="Arial" w:cs="Arial"/>
          <w:sz w:val="18"/>
          <w:szCs w:val="18"/>
          <w:lang w:val="ru-RU"/>
        </w:rPr>
        <w:fldChar w:fldCharType="end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MERGEFIELD  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>genedesc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instrText xml:space="preserve">  \* MERGEFORMAT </w:instrTex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t>«genedesc»</w:t>
      </w:r>
      <w:r w:rsidRPr="00F42F75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begin"/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MERGEFIELD  TableEn</w:instrText>
      </w:r>
      <w:r>
        <w:rPr>
          <w:rFonts w:ascii="Arial" w:eastAsia="Times New Roman" w:hAnsi="Arial" w:cs="Arial"/>
          <w:sz w:val="18"/>
          <w:szCs w:val="18"/>
          <w:lang w:val="ru-RU"/>
        </w:rPr>
        <w:instrText>d:Variants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instrText xml:space="preserve">  \* MERGEFORMAT </w:instrText>
      </w:r>
      <w:r w:rsidRPr="00F42F75">
        <w:rPr>
          <w:rFonts w:ascii="Arial" w:eastAsia="Times New Roman" w:hAnsi="Arial" w:cs="Arial"/>
          <w:sz w:val="18"/>
          <w:szCs w:val="18"/>
          <w:lang w:val="ru-RU"/>
        </w:rPr>
        <w:fldChar w:fldCharType="separate"/>
      </w:r>
      <w:r>
        <w:rPr>
          <w:rFonts w:ascii="Arial" w:eastAsia="Times New Roman" w:hAnsi="Arial" w:cs="Arial"/>
          <w:noProof/>
          <w:sz w:val="18"/>
          <w:szCs w:val="18"/>
          <w:lang w:val="ru-RU"/>
        </w:rPr>
        <w:t>«TableEnd:Variants»</w:t>
      </w:r>
      <w:r w:rsidRPr="00F42F75">
        <w:rPr>
          <w:rFonts w:ascii="Arial" w:eastAsia="Times New Roman" w:hAnsi="Arial" w:cs="Arial"/>
          <w:sz w:val="18"/>
          <w:szCs w:val="18"/>
        </w:rPr>
        <w:fldChar w:fldCharType="end"/>
      </w:r>
    </w:p>
    <w:p w14:paraId="3B1A398C" w14:textId="632505DA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>Please contact the laboratory on 03 9656 3595 if you wish to discuss this report further.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  <w:r w:rsidRPr="00CF7F03">
        <w:rPr>
          <w:rFonts w:ascii="Arial" w:eastAsia="Times New Roman" w:hAnsi="Arial"/>
          <w:sz w:val="18"/>
          <w:szCs w:val="18"/>
          <w:lang w:val="en-AU"/>
        </w:rPr>
        <w:t>Dr A Fellowes, Scientist in Charge Molecular Pathology Diagnostic Development</w:t>
      </w:r>
    </w:p>
    <w:p w14:paraId="160E3D30" w14:textId="5C6CB77B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  <w:t>Prof Ste</w:t>
      </w:r>
      <w:r w:rsidR="003D35E2">
        <w:rPr>
          <w:rFonts w:ascii="Arial" w:eastAsia="Times New Roman" w:hAnsi="Arial"/>
          <w:sz w:val="18"/>
          <w:szCs w:val="18"/>
          <w:lang w:val="en-AU"/>
        </w:rPr>
        <w:t>phen Fox, Director of Pathology</w:t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721047">
        <w:rPr>
          <w:rFonts w:ascii="Arial" w:eastAsia="Times New Roman" w:hAnsi="Arial"/>
          <w:noProof/>
          <w:sz w:val="18"/>
          <w:szCs w:val="18"/>
          <w:lang w:val="en-AU"/>
        </w:rPr>
        <w:t>14-May-2014 12:34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087EEF9" w14:textId="77777777" w:rsidR="00EE7BC2" w:rsidRDefault="00EE7BC2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7DDD5117" w14:textId="7339E515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References:</w:t>
      </w:r>
    </w:p>
    <w:p w14:paraId="634266D6" w14:textId="153F72E3" w:rsidR="00F14E16" w:rsidRPr="001A2F72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TableStart:Variants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«TableStart:Variants»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</w:instrTex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instrText>ref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«r</w:t>
      </w:r>
      <w:r w:rsidR="001F3C50" w:rsidRPr="001A2F72">
        <w:rPr>
          <w:rFonts w:ascii="Arial" w:eastAsia="Times New Roman" w:hAnsi="Arial"/>
          <w:sz w:val="18"/>
          <w:szCs w:val="18"/>
          <w:lang w:val="en-AU"/>
        </w:rPr>
        <w:t>ef</w:t>
      </w:r>
      <w:r w:rsidRPr="001A2F72">
        <w:rPr>
          <w:rFonts w:ascii="Arial" w:eastAsia="Times New Roman" w:hAnsi="Arial"/>
          <w:sz w:val="18"/>
          <w:szCs w:val="18"/>
          <w:lang w:val="en-AU"/>
        </w:rPr>
        <w:t>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1A2F72">
        <w:rPr>
          <w:rFonts w:ascii="Arial" w:eastAsia="Times New Roman" w:hAnsi="Arial"/>
          <w:sz w:val="18"/>
          <w:szCs w:val="18"/>
          <w:lang w:val="en-AU"/>
        </w:rPr>
        <w:instrText xml:space="preserve"> MERGEFIELD  TableEnd:Variants  \* MERGEFORMAT </w:instrTex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1A2F72">
        <w:rPr>
          <w:rFonts w:ascii="Arial" w:eastAsia="Times New Roman" w:hAnsi="Arial"/>
          <w:sz w:val="18"/>
          <w:szCs w:val="18"/>
          <w:lang w:val="en-AU"/>
        </w:rPr>
        <w:t>«TableEnd:Variants»</w:t>
      </w:r>
      <w:r w:rsidRPr="001A2F72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60950E1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3F6432">
      <w:headerReference w:type="default" r:id="rId9"/>
      <w:footerReference w:type="even" r:id="rId10"/>
      <w:footerReference w:type="default" r:id="rId11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55685E" w:rsidRDefault="0055685E" w:rsidP="00607735">
      <w:r>
        <w:separator/>
      </w:r>
    </w:p>
  </w:endnote>
  <w:endnote w:type="continuationSeparator" w:id="0">
    <w:p w14:paraId="418D9DBB" w14:textId="77777777" w:rsidR="0055685E" w:rsidRDefault="0055685E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55685E" w:rsidRDefault="0055685E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55685E" w:rsidRDefault="0055685E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55685E" w:rsidRPr="005435AD" w:rsidRDefault="0055685E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721047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721047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1050B4A1" w:rsidR="0055685E" w:rsidRPr="003E1B53" w:rsidRDefault="0055685E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Pr="003E1B53">
      <w:rPr>
        <w:rFonts w:ascii="Arial" w:hAnsi="Arial"/>
        <w:i/>
        <w:color w:val="808080"/>
        <w:sz w:val="18"/>
      </w:rPr>
      <w:tab/>
    </w:r>
    <w:r w:rsidR="005515A2">
      <w:rPr>
        <w:rFonts w:ascii="Arial" w:hAnsi="Arial"/>
        <w:i/>
        <w:color w:val="808080"/>
        <w:sz w:val="18"/>
      </w:rPr>
      <w:t>Actionable</w:t>
    </w:r>
    <w:r w:rsidR="005515A2" w:rsidRPr="003E1B53">
      <w:rPr>
        <w:rFonts w:ascii="Arial" w:hAnsi="Arial"/>
        <w:i/>
        <w:color w:val="808080"/>
        <w:sz w:val="18"/>
      </w:rPr>
      <w:t xml:space="preserve"> </w:t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721047">
      <w:rPr>
        <w:rFonts w:ascii="Arial" w:hAnsi="Arial"/>
        <w:i/>
        <w:noProof/>
        <w:color w:val="808080"/>
        <w:sz w:val="18"/>
      </w:rPr>
      <w:t>14-May-14 12:34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55685E" w:rsidRDefault="0055685E" w:rsidP="00607735">
      <w:r>
        <w:separator/>
      </w:r>
    </w:p>
  </w:footnote>
  <w:footnote w:type="continuationSeparator" w:id="0">
    <w:p w14:paraId="584C8C8B" w14:textId="77777777" w:rsidR="0055685E" w:rsidRDefault="0055685E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7ADCE" w14:textId="08B0D5B5" w:rsidR="0055685E" w:rsidRPr="00963761" w:rsidRDefault="0055685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F546447" wp14:editId="2AD8458D">
          <wp:simplePos x="0" y="0"/>
          <wp:positionH relativeFrom="column">
            <wp:posOffset>-114300</wp:posOffset>
          </wp:positionH>
          <wp:positionV relativeFrom="paragraph">
            <wp:posOffset>-81280</wp:posOffset>
          </wp:positionV>
          <wp:extent cx="1231900" cy="495300"/>
          <wp:effectExtent l="0" t="0" r="12700" b="12700"/>
          <wp:wrapNone/>
          <wp:docPr id="5" name="Picture 5" descr="peterma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terma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5CF19D" wp14:editId="03032612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6048" w14:textId="77777777" w:rsidR="0055685E" w:rsidRPr="00B2330E" w:rsidRDefault="0055685E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1D56048" w14:textId="77777777" w:rsidR="0055685E" w:rsidRPr="00B2330E" w:rsidRDefault="0055685E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EC8BBC" wp14:editId="72BB16BB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93FB" w14:textId="77777777" w:rsidR="0055685E" w:rsidRDefault="0055685E" w:rsidP="00F42F7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345E78" wp14:editId="5B18D42B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F8BD58E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28C8C77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24F58FF1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7B9FDACD" w14:textId="77777777" w:rsidR="0055685E" w:rsidRPr="00973272" w:rsidRDefault="0055685E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4E7A93FB" w14:textId="77777777" w:rsidR="0055685E" w:rsidRDefault="0055685E" w:rsidP="00F42F75">
                    <w:r>
                      <w:rPr>
                        <w:noProof/>
                      </w:rPr>
                      <w:drawing>
                        <wp:inline distT="0" distB="0" distL="0" distR="0" wp14:anchorId="13345E78" wp14:editId="5B18D42B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F8BD58E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28C8C77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24F58FF1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7B9FDACD" w14:textId="77777777" w:rsidR="0055685E" w:rsidRPr="00973272" w:rsidRDefault="0055685E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DC8EE0F" wp14:editId="4BCB2D9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B6176" wp14:editId="397888ED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97529" w14:textId="1AE59D7B" w:rsidR="0055685E" w:rsidRDefault="0055685E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" filled="f" stroked="f">
              <v:textbox>
                <w:txbxContent>
                  <w:p w14:paraId="4B197529" w14:textId="1AE59D7B" w:rsidR="0055685E" w:rsidRDefault="0055685E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432"/>
    <w:rsid w:val="003F6E79"/>
    <w:rsid w:val="004009E6"/>
    <w:rsid w:val="00401652"/>
    <w:rsid w:val="00405A3C"/>
    <w:rsid w:val="00452D08"/>
    <w:rsid w:val="00467CDB"/>
    <w:rsid w:val="00467ED3"/>
    <w:rsid w:val="0049466D"/>
    <w:rsid w:val="004C559A"/>
    <w:rsid w:val="004E0285"/>
    <w:rsid w:val="004E0467"/>
    <w:rsid w:val="004E1494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515A2"/>
    <w:rsid w:val="0055685E"/>
    <w:rsid w:val="005878AA"/>
    <w:rsid w:val="0059224B"/>
    <w:rsid w:val="005D048F"/>
    <w:rsid w:val="005D684F"/>
    <w:rsid w:val="005F0C42"/>
    <w:rsid w:val="005F5CB9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1047"/>
    <w:rsid w:val="00735A10"/>
    <w:rsid w:val="00744DA7"/>
    <w:rsid w:val="0076730A"/>
    <w:rsid w:val="0077518F"/>
    <w:rsid w:val="00786186"/>
    <w:rsid w:val="007865B1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8F643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95BFE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052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37436"/>
    <w:rsid w:val="00B63BD0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302C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B038C"/>
    <w:rsid w:val="00EC38AE"/>
    <w:rsid w:val="00ED1467"/>
    <w:rsid w:val="00EE7BC2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4" Type="http://schemas.openxmlformats.org/officeDocument/2006/relationships/image" Target="media/image3.pn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D39C2-107C-C642-9574-5394AAC01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560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3745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test</cp:lastModifiedBy>
  <cp:revision>11</cp:revision>
  <cp:lastPrinted>2012-12-04T01:35:00Z</cp:lastPrinted>
  <dcterms:created xsi:type="dcterms:W3CDTF">2014-05-05T03:12:00Z</dcterms:created>
  <dcterms:modified xsi:type="dcterms:W3CDTF">2015-08-30T23:54:00Z</dcterms:modified>
  <cp:category/>
</cp:coreProperties>
</file>