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0767238F"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3FD17DC9"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1E550C9C"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7CA37F11" w:rsidR="0034282D" w:rsidRDefault="00DC09F1"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 xml:space="preserve">TRUSEQ AMPLICON 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E72471">
        <w:rPr>
          <w:rFonts w:ascii="Verdana" w:eastAsia="Times New Roman" w:hAnsi="Verdana"/>
          <w:b/>
          <w:bCs/>
          <w:sz w:val="26"/>
          <w:szCs w:val="20"/>
          <w:lang w:val="en-AU"/>
        </w:rPr>
        <w:t xml:space="preserve"> </w:t>
      </w:r>
      <w:bookmarkStart w:id="0" w:name="_GoBack"/>
      <w:r w:rsidR="00E72471" w:rsidRPr="00874AD1">
        <w:rPr>
          <w:rFonts w:ascii="Courier New" w:hAnsi="Courier New" w:cs="Courier New"/>
          <w:color w:val="FF0000"/>
        </w:rPr>
        <w:fldChar w:fldCharType="begin"/>
      </w:r>
      <w:r w:rsidR="00E72471" w:rsidRPr="00874AD1">
        <w:rPr>
          <w:rFonts w:ascii="Courier New" w:hAnsi="Courier New" w:cs="Courier New"/>
          <w:color w:val="FF0000"/>
        </w:rPr>
        <w:instrText xml:space="preserve"> MERGEFIELD  isdraft  \* MERGEFORMAT </w:instrText>
      </w:r>
      <w:r w:rsidR="00E72471" w:rsidRPr="00874AD1">
        <w:rPr>
          <w:rFonts w:ascii="Courier New" w:hAnsi="Courier New" w:cs="Courier New"/>
          <w:color w:val="FF0000"/>
        </w:rPr>
        <w:fldChar w:fldCharType="separate"/>
      </w:r>
      <w:r w:rsidR="00E72471" w:rsidRPr="00874AD1">
        <w:rPr>
          <w:rFonts w:ascii="Courier New" w:hAnsi="Courier New" w:cs="Courier New"/>
          <w:noProof/>
          <w:color w:val="FF0000"/>
        </w:rPr>
        <w:t>«isdraft»</w:t>
      </w:r>
      <w:r w:rsidR="00E72471" w:rsidRPr="00874AD1">
        <w:rPr>
          <w:rFonts w:ascii="Courier New" w:hAnsi="Courier New" w:cs="Courier New"/>
          <w:color w:val="FF0000"/>
        </w:rPr>
        <w:fldChar w:fldCharType="end"/>
      </w:r>
      <w:bookmarkEnd w:id="0"/>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p w14:paraId="075713A2" w14:textId="79F6CCC1" w:rsidR="0072516F" w:rsidRPr="0072516F" w:rsidRDefault="0072516F" w:rsidP="00143584">
      <w:pPr>
        <w:tabs>
          <w:tab w:val="left" w:pos="8647"/>
          <w:tab w:val="left" w:pos="9540"/>
        </w:tabs>
        <w:spacing w:after="120"/>
        <w:jc w:val="both"/>
        <w:rPr>
          <w:rFonts w:ascii="Arial" w:eastAsia="Times New Roman" w:hAnsi="Arial"/>
          <w:b/>
          <w:sz w:val="22"/>
          <w:szCs w:val="22"/>
          <w:lang w:val="en-AU"/>
        </w:rPr>
      </w:pPr>
      <w:r w:rsidRPr="0072516F">
        <w:rPr>
          <w:rFonts w:ascii="Arial" w:hAnsi="Arial" w:cs="Arial"/>
          <w:b/>
          <w:noProof/>
          <w:sz w:val="18"/>
          <w:szCs w:val="18"/>
          <w:lang w:val="ru-RU"/>
        </w:rPr>
        <w:t>No activating or inactivating mutations were detected.</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32B7D49" w14:textId="42C44795" w:rsidR="0072516F" w:rsidRDefault="0072516F" w:rsidP="00143584">
      <w:pPr>
        <w:tabs>
          <w:tab w:val="left" w:pos="8647"/>
          <w:tab w:val="left" w:pos="9540"/>
        </w:tabs>
        <w:spacing w:before="120" w:after="120"/>
        <w:jc w:val="both"/>
        <w:rPr>
          <w:rFonts w:ascii="Arial" w:eastAsia="Times New Roman" w:hAnsi="Arial"/>
          <w:b/>
          <w:sz w:val="22"/>
          <w:szCs w:val="22"/>
          <w:lang w:val="en-AU"/>
        </w:rPr>
      </w:pPr>
      <w:r>
        <w:rPr>
          <w:rFonts w:ascii="Arial" w:hAnsi="Arial" w:cs="Arial"/>
          <w:noProof/>
          <w:sz w:val="18"/>
          <w:szCs w:val="18"/>
          <w:lang w:val="ru-RU"/>
        </w:rPr>
        <w:t>A negative result in this assay reflects the limited sensitivity of the TruSeq Amplicon Cancer Panel to the rare genomic changes associated with many cancers.</w:t>
      </w:r>
    </w:p>
    <w:p w14:paraId="69224BA8" w14:textId="03650F01" w:rsidR="00DC09F1" w:rsidRDefault="0072516F"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F14E16">
      <w:pPr>
        <w:tabs>
          <w:tab w:val="left" w:pos="1701"/>
          <w:tab w:val="left" w:pos="9540"/>
        </w:tabs>
        <w:ind w:left="1134" w:right="1126"/>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874AD1">
        <w:rPr>
          <w:rFonts w:ascii="Arial" w:eastAsia="Times New Roman" w:hAnsi="Arial"/>
          <w:noProof/>
          <w:sz w:val="18"/>
          <w:szCs w:val="18"/>
          <w:lang w:val="en-AU"/>
        </w:rPr>
        <w:t>6-Mar-2015 10:14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7ABD7A51"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E8328E">
      <w:headerReference w:type="default" r:id="rId9"/>
      <w:footerReference w:type="even" r:id="rId10"/>
      <w:footerReference w:type="default" r:id="rId11"/>
      <w:pgSz w:w="11900" w:h="16840"/>
      <w:pgMar w:top="1560"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874AD1">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874AD1">
      <w:rPr>
        <w:rFonts w:ascii="Arial" w:hAnsi="Arial"/>
        <w:i/>
        <w:noProof/>
        <w:color w:val="808080"/>
        <w:sz w:val="18"/>
      </w:rPr>
      <w:t>1</w:t>
    </w:r>
    <w:r w:rsidRPr="005435AD">
      <w:rPr>
        <w:rFonts w:ascii="Arial" w:hAnsi="Arial"/>
        <w:i/>
        <w:color w:val="808080"/>
        <w:sz w:val="18"/>
      </w:rPr>
      <w:fldChar w:fldCharType="end"/>
    </w:r>
  </w:p>
  <w:p w14:paraId="1D63A7C3" w14:textId="6B2FCFF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Pr="003E1B53">
      <w:rPr>
        <w:rFonts w:ascii="Arial" w:hAnsi="Arial"/>
        <w:i/>
        <w:color w:val="808080"/>
        <w:sz w:val="18"/>
      </w:rPr>
      <w:tab/>
      <w:t>TruSeq Amplicon 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874AD1">
      <w:rPr>
        <w:rFonts w:ascii="Arial" w:hAnsi="Arial"/>
        <w:i/>
        <w:noProof/>
        <w:color w:val="808080"/>
        <w:sz w:val="18"/>
      </w:rPr>
      <w:t>6-Mar-15 10:14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363A5FDC" w:rsidR="008B438B" w:rsidRPr="00963761" w:rsidRDefault="00E8328E" w:rsidP="00AD585B">
    <w:pPr>
      <w:tabs>
        <w:tab w:val="center" w:pos="4153"/>
        <w:tab w:val="right" w:pos="8306"/>
      </w:tabs>
      <w:jc w:val="center"/>
      <w:rPr>
        <w:rFonts w:ascii="Arial" w:hAnsi="Arial" w:cs="Arial"/>
        <w:bCs/>
        <w:iCs/>
        <w:color w:val="999999"/>
      </w:rPr>
    </w:pPr>
    <w:r>
      <w:rPr>
        <w:noProof/>
      </w:rPr>
      <mc:AlternateContent>
        <mc:Choice Requires="wps">
          <w:drawing>
            <wp:anchor distT="0" distB="0" distL="114300" distR="114300" simplePos="0" relativeHeight="251658240" behindDoc="0" locked="0" layoutInCell="1" allowOverlap="1" wp14:anchorId="70EC8BBC" wp14:editId="5176D4EC">
              <wp:simplePos x="0" y="0"/>
              <wp:positionH relativeFrom="column">
                <wp:posOffset>5372100</wp:posOffset>
              </wp:positionH>
              <wp:positionV relativeFrom="page">
                <wp:posOffset>304800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23pt;margin-top:24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&#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1312" behindDoc="0" locked="0" layoutInCell="1" allowOverlap="1" wp14:anchorId="69270715" wp14:editId="787C3E81">
          <wp:simplePos x="0" y="0"/>
          <wp:positionH relativeFrom="column">
            <wp:posOffset>6057900</wp:posOffset>
          </wp:positionH>
          <wp:positionV relativeFrom="paragraph">
            <wp:posOffset>-127000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F209C3" wp14:editId="3E44F291">
          <wp:simplePos x="0" y="0"/>
          <wp:positionH relativeFrom="column">
            <wp:posOffset>0</wp:posOffset>
          </wp:positionH>
          <wp:positionV relativeFrom="paragraph">
            <wp:posOffset>-241300</wp:posOffset>
          </wp:positionV>
          <wp:extent cx="1231900" cy="495300"/>
          <wp:effectExtent l="0" t="0" r="12700" b="12700"/>
          <wp:wrapNone/>
          <wp:docPr id="5" name="Picture 1"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48CCF6D4">
              <wp:simplePos x="0" y="0"/>
              <wp:positionH relativeFrom="column">
                <wp:posOffset>0</wp:posOffset>
              </wp:positionH>
              <wp:positionV relativeFrom="paragraph">
                <wp:posOffset>215900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7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8328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282D"/>
    <w:rsid w:val="00351983"/>
    <w:rsid w:val="003629EE"/>
    <w:rsid w:val="0036796E"/>
    <w:rsid w:val="003750B4"/>
    <w:rsid w:val="00377E0C"/>
    <w:rsid w:val="00396279"/>
    <w:rsid w:val="003C4AB8"/>
    <w:rsid w:val="003D35E2"/>
    <w:rsid w:val="003E1B53"/>
    <w:rsid w:val="003E1E5F"/>
    <w:rsid w:val="003E4C63"/>
    <w:rsid w:val="003F52DF"/>
    <w:rsid w:val="003F6E79"/>
    <w:rsid w:val="004009E6"/>
    <w:rsid w:val="00401652"/>
    <w:rsid w:val="00405A3C"/>
    <w:rsid w:val="00452D08"/>
    <w:rsid w:val="00467CDB"/>
    <w:rsid w:val="00467ED3"/>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B2CC5"/>
    <w:rsid w:val="006C3280"/>
    <w:rsid w:val="006C5841"/>
    <w:rsid w:val="006D6DB9"/>
    <w:rsid w:val="006E57BB"/>
    <w:rsid w:val="006F5C65"/>
    <w:rsid w:val="00700841"/>
    <w:rsid w:val="0070132E"/>
    <w:rsid w:val="0072038E"/>
    <w:rsid w:val="0072516F"/>
    <w:rsid w:val="00735A10"/>
    <w:rsid w:val="00744DA7"/>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74AD1"/>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2471"/>
    <w:rsid w:val="00E765E0"/>
    <w:rsid w:val="00E831CD"/>
    <w:rsid w:val="00E8328E"/>
    <w:rsid w:val="00EB038C"/>
    <w:rsid w:val="00EC38AE"/>
    <w:rsid w:val="00ED1467"/>
    <w:rsid w:val="00F00B33"/>
    <w:rsid w:val="00F029B8"/>
    <w:rsid w:val="00F14E16"/>
    <w:rsid w:val="00F35DDD"/>
    <w:rsid w:val="00F42F75"/>
    <w:rsid w:val="00F46556"/>
    <w:rsid w:val="00F5574D"/>
    <w:rsid w:val="00F60328"/>
    <w:rsid w:val="00F63B07"/>
    <w:rsid w:val="00F85033"/>
    <w:rsid w:val="00F977B1"/>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3.jpeg"/><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BF7B8-16B5-B54C-ADAA-438CC476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517</Words>
  <Characters>2949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3460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test</cp:lastModifiedBy>
  <cp:revision>23</cp:revision>
  <cp:lastPrinted>2012-12-04T01:35:00Z</cp:lastPrinted>
  <dcterms:created xsi:type="dcterms:W3CDTF">2014-04-29T08:52:00Z</dcterms:created>
  <dcterms:modified xsi:type="dcterms:W3CDTF">2015-03-16T23:38:00Z</dcterms:modified>
  <cp:category/>
</cp:coreProperties>
</file>